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2C7" w:rsidRPr="00420BF0" w:rsidRDefault="007B62C7" w:rsidP="007B62C7">
      <w:pPr>
        <w:pStyle w:val="Heading1"/>
        <w:jc w:val="center"/>
        <w:rPr>
          <w:rFonts w:ascii="Arial" w:hAnsi="Arial" w:cs="Arial"/>
          <w:sz w:val="56"/>
          <w:szCs w:val="56"/>
        </w:rPr>
      </w:pPr>
      <w:r w:rsidRPr="00420BF0">
        <w:rPr>
          <w:rFonts w:ascii="Arial" w:hAnsi="Arial" w:cs="Arial"/>
          <w:sz w:val="56"/>
          <w:szCs w:val="56"/>
        </w:rPr>
        <w:t>TECHNICAL NOTE</w:t>
      </w:r>
    </w:p>
    <w:p w:rsidR="007B62C7" w:rsidRDefault="00814F3C" w:rsidP="007B62C7">
      <w:pPr>
        <w:jc w:val="center"/>
        <w:rPr>
          <w:rFonts w:ascii="Arial" w:hAnsi="Arial" w:cs="Arial"/>
          <w:sz w:val="28"/>
        </w:rPr>
      </w:pPr>
      <w:r>
        <w:rPr>
          <w:rFonts w:ascii="Arial" w:hAnsi="Arial" w:cs="Arial"/>
          <w:noProof/>
          <w:sz w:val="28"/>
        </w:rPr>
        <w:pict>
          <v:line id="_x0000_s1028" style="position:absolute;left:0;text-align:left;z-index:251686912" from="-7.2pt,10pt" to="450pt,10.45pt" o:allowincell="f"/>
        </w:pict>
      </w:r>
    </w:p>
    <w:p w:rsidR="007B62C7" w:rsidRPr="003C76DF" w:rsidRDefault="007B62C7" w:rsidP="007B62C7">
      <w:pPr>
        <w:jc w:val="center"/>
        <w:rPr>
          <w:rFonts w:ascii="Arial" w:hAnsi="Arial" w:cs="Arial"/>
          <w:b/>
          <w:sz w:val="32"/>
          <w:szCs w:val="32"/>
        </w:rPr>
      </w:pPr>
      <w:r w:rsidRPr="00EE1245">
        <w:rPr>
          <w:rFonts w:ascii="Arial" w:hAnsi="Arial" w:cs="Arial"/>
          <w:b/>
          <w:sz w:val="28"/>
        </w:rPr>
        <w:t>USDA</w:t>
      </w:r>
      <w:r>
        <w:rPr>
          <w:rFonts w:ascii="Arial" w:hAnsi="Arial" w:cs="Arial"/>
          <w:b/>
          <w:sz w:val="28"/>
        </w:rPr>
        <w:t xml:space="preserve"> </w:t>
      </w:r>
      <w:r w:rsidRPr="00EE1245">
        <w:rPr>
          <w:rFonts w:ascii="Arial" w:hAnsi="Arial" w:cs="Arial"/>
          <w:b/>
          <w:sz w:val="28"/>
        </w:rPr>
        <w:t>-</w:t>
      </w:r>
      <w:r>
        <w:rPr>
          <w:rFonts w:ascii="Arial" w:hAnsi="Arial" w:cs="Arial"/>
          <w:b/>
          <w:sz w:val="28"/>
        </w:rPr>
        <w:t xml:space="preserve"> </w:t>
      </w:r>
      <w:r w:rsidRPr="00EE1245">
        <w:rPr>
          <w:rFonts w:ascii="Arial" w:hAnsi="Arial" w:cs="Arial"/>
          <w:b/>
          <w:sz w:val="28"/>
        </w:rPr>
        <w:t>Natural Resources Conservation Service</w:t>
      </w:r>
    </w:p>
    <w:p w:rsidR="007B62C7" w:rsidRDefault="007B62C7" w:rsidP="007B62C7">
      <w:pPr>
        <w:jc w:val="center"/>
        <w:rPr>
          <w:rFonts w:ascii="Arial" w:hAnsi="Arial" w:cs="Arial"/>
          <w:b/>
          <w:sz w:val="28"/>
        </w:rPr>
      </w:pPr>
      <w:r w:rsidRPr="00EE1245">
        <w:rPr>
          <w:rFonts w:ascii="Arial" w:hAnsi="Arial" w:cs="Arial"/>
          <w:b/>
          <w:sz w:val="28"/>
        </w:rPr>
        <w:t>Boise, Idaho</w:t>
      </w:r>
      <w:r>
        <w:rPr>
          <w:rFonts w:ascii="Arial" w:hAnsi="Arial" w:cs="Arial"/>
          <w:b/>
          <w:sz w:val="28"/>
        </w:rPr>
        <w:t xml:space="preserve"> – Salt Lake City, Utah</w:t>
      </w:r>
    </w:p>
    <w:p w:rsidR="007B62C7" w:rsidRDefault="00814F3C" w:rsidP="007B62C7">
      <w:pPr>
        <w:jc w:val="center"/>
        <w:rPr>
          <w:rFonts w:ascii="Arial" w:hAnsi="Arial" w:cs="Arial"/>
          <w:sz w:val="28"/>
        </w:rPr>
      </w:pPr>
      <w:r>
        <w:rPr>
          <w:rFonts w:ascii="Arial" w:hAnsi="Arial" w:cs="Arial"/>
          <w:noProof/>
          <w:sz w:val="28"/>
        </w:rPr>
        <w:pict>
          <v:line id="_x0000_s1029" style="position:absolute;left:0;text-align:left;flip:y;z-index:251687936" from="-7.2pt,9.1pt" to="450pt,10pt" o:allowincell="f"/>
        </w:pict>
      </w:r>
    </w:p>
    <w:p w:rsidR="007B62C7" w:rsidRPr="00357422" w:rsidRDefault="007B62C7" w:rsidP="007B62C7">
      <w:pPr>
        <w:pStyle w:val="Heading6"/>
        <w:tabs>
          <w:tab w:val="left" w:pos="6480"/>
        </w:tabs>
        <w:rPr>
          <w:rFonts w:ascii="Arial" w:hAnsi="Arial" w:cs="Arial"/>
          <w:b/>
          <w:sz w:val="20"/>
        </w:rPr>
      </w:pPr>
    </w:p>
    <w:p w:rsidR="007B62C7" w:rsidRDefault="007B62C7" w:rsidP="007B62C7">
      <w:pPr>
        <w:pStyle w:val="Heading6"/>
        <w:tabs>
          <w:tab w:val="left" w:pos="6480"/>
        </w:tabs>
        <w:ind w:right="-360"/>
        <w:rPr>
          <w:rFonts w:ascii="Arial" w:hAnsi="Arial" w:cs="Arial"/>
          <w:b/>
          <w:szCs w:val="24"/>
        </w:rPr>
      </w:pPr>
      <w:proofErr w:type="gramStart"/>
      <w:r>
        <w:rPr>
          <w:rFonts w:ascii="Arial" w:hAnsi="Arial" w:cs="Arial"/>
          <w:b/>
          <w:szCs w:val="24"/>
        </w:rPr>
        <w:t xml:space="preserve">TN </w:t>
      </w:r>
      <w:r w:rsidR="007B7B8B">
        <w:rPr>
          <w:rFonts w:ascii="Arial" w:hAnsi="Arial" w:cs="Arial"/>
          <w:b/>
          <w:szCs w:val="24"/>
        </w:rPr>
        <w:t>RANGE</w:t>
      </w:r>
      <w:r>
        <w:rPr>
          <w:rFonts w:ascii="Arial" w:hAnsi="Arial" w:cs="Arial"/>
          <w:b/>
          <w:szCs w:val="24"/>
        </w:rPr>
        <w:t xml:space="preserve"> NO.</w:t>
      </w:r>
      <w:proofErr w:type="gramEnd"/>
      <w:r>
        <w:rPr>
          <w:rFonts w:ascii="Arial" w:hAnsi="Arial" w:cs="Arial"/>
          <w:b/>
          <w:szCs w:val="24"/>
        </w:rPr>
        <w:t xml:space="preserve"> </w:t>
      </w:r>
      <w:r w:rsidR="007B7B8B">
        <w:rPr>
          <w:rFonts w:ascii="Arial" w:hAnsi="Arial" w:cs="Arial"/>
          <w:b/>
          <w:szCs w:val="24"/>
        </w:rPr>
        <w:t>73</w:t>
      </w:r>
      <w:r>
        <w:rPr>
          <w:rFonts w:ascii="Arial" w:hAnsi="Arial" w:cs="Arial"/>
          <w:b/>
          <w:szCs w:val="24"/>
        </w:rPr>
        <w:t xml:space="preserve">    </w:t>
      </w:r>
      <w:r>
        <w:rPr>
          <w:rFonts w:ascii="Arial" w:hAnsi="Arial" w:cs="Arial"/>
          <w:b/>
          <w:szCs w:val="24"/>
        </w:rPr>
        <w:tab/>
        <w:t xml:space="preserve">                    July 2012</w:t>
      </w:r>
    </w:p>
    <w:p w:rsidR="007B62C7" w:rsidRDefault="007B62C7" w:rsidP="007B62C7">
      <w:pPr>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7B62C7" w:rsidRDefault="007B62C7" w:rsidP="007B62C7"/>
    <w:p w:rsidR="007B62C7" w:rsidRDefault="007B62C7" w:rsidP="007B62C7"/>
    <w:p w:rsidR="007B62C7" w:rsidRPr="007B62C7" w:rsidRDefault="007B62C7" w:rsidP="007B62C7">
      <w:pPr>
        <w:jc w:val="center"/>
        <w:rPr>
          <w:b/>
          <w:sz w:val="32"/>
          <w:szCs w:val="32"/>
        </w:rPr>
      </w:pPr>
      <w:r w:rsidRPr="007B62C7">
        <w:rPr>
          <w:b/>
          <w:sz w:val="32"/>
          <w:szCs w:val="32"/>
        </w:rPr>
        <w:t>H</w:t>
      </w:r>
      <w:r w:rsidR="00887165">
        <w:rPr>
          <w:b/>
          <w:sz w:val="32"/>
          <w:szCs w:val="32"/>
        </w:rPr>
        <w:t xml:space="preserve">arvest Efficiency in Prescribed </w:t>
      </w:r>
      <w:r w:rsidRPr="007B62C7">
        <w:rPr>
          <w:b/>
          <w:sz w:val="32"/>
          <w:szCs w:val="32"/>
        </w:rPr>
        <w:t>Grazing</w:t>
      </w:r>
    </w:p>
    <w:p w:rsidR="007B62C7" w:rsidRDefault="007B62C7" w:rsidP="007B62C7">
      <w:pPr>
        <w:rPr>
          <w:b/>
        </w:rPr>
      </w:pPr>
    </w:p>
    <w:p w:rsidR="00B32DAD" w:rsidRDefault="00B32DAD" w:rsidP="007B62C7">
      <w:pPr>
        <w:rPr>
          <w:b/>
        </w:rPr>
      </w:pPr>
    </w:p>
    <w:p w:rsidR="00B32DAD" w:rsidRDefault="00B32DAD" w:rsidP="007B62C7">
      <w:pPr>
        <w:rPr>
          <w:b/>
        </w:rPr>
      </w:pPr>
    </w:p>
    <w:p w:rsidR="007B62C7" w:rsidRPr="005007CD" w:rsidRDefault="007B62C7" w:rsidP="007B62C7">
      <w:pPr>
        <w:jc w:val="center"/>
        <w:rPr>
          <w:b/>
          <w:sz w:val="24"/>
          <w:szCs w:val="24"/>
        </w:rPr>
      </w:pPr>
      <w:r>
        <w:rPr>
          <w:b/>
          <w:sz w:val="24"/>
          <w:szCs w:val="24"/>
        </w:rPr>
        <w:t>Shane Green</w:t>
      </w:r>
      <w:r w:rsidRPr="005007CD">
        <w:rPr>
          <w:b/>
          <w:sz w:val="24"/>
          <w:szCs w:val="24"/>
        </w:rPr>
        <w:t xml:space="preserve">, </w:t>
      </w:r>
      <w:r>
        <w:rPr>
          <w:b/>
          <w:sz w:val="24"/>
          <w:szCs w:val="24"/>
        </w:rPr>
        <w:t xml:space="preserve">State </w:t>
      </w:r>
      <w:r w:rsidR="00887165">
        <w:rPr>
          <w:b/>
          <w:sz w:val="24"/>
          <w:szCs w:val="24"/>
        </w:rPr>
        <w:t>Rangeland Management Specialist</w:t>
      </w:r>
      <w:r w:rsidRPr="005007CD">
        <w:rPr>
          <w:b/>
          <w:sz w:val="24"/>
          <w:szCs w:val="24"/>
        </w:rPr>
        <w:t xml:space="preserve">, NRCS, </w:t>
      </w:r>
      <w:r>
        <w:rPr>
          <w:b/>
          <w:sz w:val="24"/>
          <w:szCs w:val="24"/>
        </w:rPr>
        <w:t>Salt Lake City</w:t>
      </w:r>
      <w:r w:rsidRPr="005007CD">
        <w:rPr>
          <w:b/>
          <w:sz w:val="24"/>
          <w:szCs w:val="24"/>
        </w:rPr>
        <w:t xml:space="preserve">, </w:t>
      </w:r>
      <w:r>
        <w:rPr>
          <w:b/>
          <w:sz w:val="24"/>
          <w:szCs w:val="24"/>
        </w:rPr>
        <w:t>Utah</w:t>
      </w:r>
    </w:p>
    <w:p w:rsidR="007B62C7" w:rsidRPr="005007CD" w:rsidRDefault="007B62C7" w:rsidP="007B62C7">
      <w:pPr>
        <w:jc w:val="center"/>
        <w:rPr>
          <w:b/>
          <w:sz w:val="24"/>
          <w:szCs w:val="24"/>
        </w:rPr>
      </w:pPr>
      <w:r>
        <w:rPr>
          <w:b/>
          <w:sz w:val="24"/>
          <w:szCs w:val="24"/>
        </w:rPr>
        <w:t>Brendan Brazee</w:t>
      </w:r>
      <w:r w:rsidRPr="005007CD">
        <w:rPr>
          <w:b/>
          <w:sz w:val="24"/>
          <w:szCs w:val="24"/>
        </w:rPr>
        <w:t xml:space="preserve">, </w:t>
      </w:r>
      <w:r>
        <w:rPr>
          <w:b/>
          <w:sz w:val="24"/>
          <w:szCs w:val="24"/>
        </w:rPr>
        <w:t>State Range Conservationist</w:t>
      </w:r>
      <w:r w:rsidRPr="005007CD">
        <w:rPr>
          <w:b/>
          <w:sz w:val="24"/>
          <w:szCs w:val="24"/>
        </w:rPr>
        <w:t>, NRCS, Boise, Idaho</w:t>
      </w:r>
    </w:p>
    <w:p w:rsidR="007B62C7" w:rsidRDefault="007B62C7" w:rsidP="007B62C7">
      <w:pPr>
        <w:jc w:val="center"/>
        <w:rPr>
          <w:b/>
          <w:sz w:val="24"/>
          <w:szCs w:val="24"/>
        </w:rPr>
      </w:pPr>
    </w:p>
    <w:p w:rsidR="007B62C7" w:rsidRDefault="007B62C7" w:rsidP="007B62C7">
      <w:pPr>
        <w:jc w:val="center"/>
        <w:rPr>
          <w:b/>
          <w:sz w:val="26"/>
        </w:rPr>
      </w:pPr>
    </w:p>
    <w:p w:rsidR="007B62C7" w:rsidRDefault="007B62C7"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7B8B" w:rsidRDefault="007B7B8B" w:rsidP="007B62C7">
      <w:pPr>
        <w:rPr>
          <w:b/>
          <w:sz w:val="16"/>
          <w:szCs w:val="16"/>
        </w:rPr>
      </w:pPr>
    </w:p>
    <w:p w:rsidR="007B62C7" w:rsidRPr="00171515" w:rsidRDefault="007B62C7" w:rsidP="007B62C7">
      <w:pPr>
        <w:jc w:val="center"/>
        <w:rPr>
          <w:b/>
          <w:sz w:val="16"/>
          <w:szCs w:val="16"/>
        </w:rPr>
      </w:pPr>
    </w:p>
    <w:p w:rsidR="007B62C7" w:rsidRDefault="007B62C7" w:rsidP="007B62C7">
      <w:pPr>
        <w:rPr>
          <w:b/>
        </w:rPr>
      </w:pPr>
      <w:r w:rsidRPr="009F2668">
        <w:rPr>
          <w:b/>
        </w:rPr>
        <w:t xml:space="preserve">This technical </w:t>
      </w:r>
      <w:r w:rsidRPr="007B62C7">
        <w:rPr>
          <w:b/>
        </w:rPr>
        <w:t>note transmit</w:t>
      </w:r>
      <w:r>
        <w:rPr>
          <w:b/>
        </w:rPr>
        <w:t>s</w:t>
      </w:r>
      <w:r w:rsidRPr="007B62C7">
        <w:rPr>
          <w:b/>
        </w:rPr>
        <w:t xml:space="preserve"> information on the concepts and terminology </w:t>
      </w:r>
      <w:r w:rsidR="00887165">
        <w:rPr>
          <w:b/>
        </w:rPr>
        <w:t xml:space="preserve">surrounding harvest efficiency </w:t>
      </w:r>
      <w:r w:rsidRPr="007B62C7">
        <w:rPr>
          <w:b/>
        </w:rPr>
        <w:t xml:space="preserve">and how they can be applied in conservation planning. </w:t>
      </w:r>
    </w:p>
    <w:p w:rsidR="007B62C7" w:rsidRDefault="007B62C7">
      <w:pPr>
        <w:overflowPunct/>
        <w:autoSpaceDE/>
        <w:autoSpaceDN/>
        <w:adjustRightInd/>
        <w:spacing w:after="200" w:line="276" w:lineRule="auto"/>
        <w:textAlignment w:val="auto"/>
        <w:rPr>
          <w:b/>
        </w:rPr>
      </w:pPr>
      <w:r>
        <w:rPr>
          <w:b/>
        </w:rPr>
        <w:br w:type="page"/>
      </w:r>
    </w:p>
    <w:p w:rsidR="007B7B8B" w:rsidRDefault="007B7B8B">
      <w:pPr>
        <w:overflowPunct/>
        <w:autoSpaceDE/>
        <w:autoSpaceDN/>
        <w:adjustRightInd/>
        <w:spacing w:after="200" w:line="276" w:lineRule="auto"/>
        <w:textAlignment w:val="auto"/>
        <w:rPr>
          <w:sz w:val="24"/>
          <w:szCs w:val="24"/>
          <w:u w:val="single"/>
        </w:rPr>
      </w:pPr>
      <w:r>
        <w:rPr>
          <w:sz w:val="24"/>
          <w:szCs w:val="24"/>
          <w:u w:val="single"/>
        </w:rPr>
        <w:lastRenderedPageBreak/>
        <w:br w:type="page"/>
      </w:r>
    </w:p>
    <w:p w:rsidR="00D2319C" w:rsidRPr="00ED070B" w:rsidRDefault="00D2319C" w:rsidP="00D2319C">
      <w:pPr>
        <w:rPr>
          <w:sz w:val="24"/>
          <w:szCs w:val="24"/>
          <w:u w:val="single"/>
        </w:rPr>
      </w:pPr>
      <w:r w:rsidRPr="00ED070B">
        <w:rPr>
          <w:sz w:val="24"/>
          <w:szCs w:val="24"/>
          <w:u w:val="single"/>
        </w:rPr>
        <w:lastRenderedPageBreak/>
        <w:t>Background</w:t>
      </w:r>
    </w:p>
    <w:p w:rsidR="00D2319C" w:rsidRDefault="00D2319C" w:rsidP="00D2319C">
      <w:pPr>
        <w:rPr>
          <w:sz w:val="24"/>
          <w:szCs w:val="24"/>
        </w:rPr>
      </w:pPr>
    </w:p>
    <w:p w:rsidR="00D2319C" w:rsidRDefault="00454AC8" w:rsidP="00D2319C">
      <w:pPr>
        <w:rPr>
          <w:sz w:val="24"/>
          <w:szCs w:val="24"/>
        </w:rPr>
      </w:pPr>
      <w:r>
        <w:rPr>
          <w:sz w:val="24"/>
          <w:szCs w:val="24"/>
        </w:rPr>
        <w:t xml:space="preserve">Most range conservationists learned the concept of utilization during their education in </w:t>
      </w:r>
      <w:r w:rsidR="008B6B1B">
        <w:rPr>
          <w:sz w:val="24"/>
          <w:szCs w:val="24"/>
        </w:rPr>
        <w:t>range</w:t>
      </w:r>
      <w:r>
        <w:rPr>
          <w:sz w:val="24"/>
          <w:szCs w:val="24"/>
        </w:rPr>
        <w:t xml:space="preserve"> management.  The old “take half, leave half” rule of thumb </w:t>
      </w:r>
      <w:r w:rsidR="008B6B1B">
        <w:rPr>
          <w:sz w:val="24"/>
          <w:szCs w:val="24"/>
        </w:rPr>
        <w:t xml:space="preserve">(figure 1) </w:t>
      </w:r>
      <w:r>
        <w:rPr>
          <w:sz w:val="24"/>
          <w:szCs w:val="24"/>
        </w:rPr>
        <w:t xml:space="preserve">still applies with the new concept of harvest efficiency.  </w:t>
      </w:r>
      <w:r w:rsidR="00D2319C">
        <w:rPr>
          <w:sz w:val="24"/>
          <w:szCs w:val="24"/>
        </w:rPr>
        <w:t>The term ‘harvest efficiency’ is relatively new in range management.  This term first appeared in the Journal of Range Management in 1980 (</w:t>
      </w:r>
      <w:proofErr w:type="spellStart"/>
      <w:r w:rsidR="00D2319C">
        <w:rPr>
          <w:sz w:val="24"/>
          <w:szCs w:val="24"/>
        </w:rPr>
        <w:t>Beaty</w:t>
      </w:r>
      <w:proofErr w:type="spellEnd"/>
      <w:r w:rsidR="00D2319C">
        <w:rPr>
          <w:sz w:val="24"/>
          <w:szCs w:val="24"/>
        </w:rPr>
        <w:t xml:space="preserve"> and Engel, 1980), and was first introduced in NRCS through the 1997 edition of the National Range and Pasture Handbook (NRPH).  The Society for Range Management Glossary of Terms Used in Range Management (1989 edition) did not contain the term “harvest efficiency”, but the concept could be found in the definition of Utilization (Use): </w:t>
      </w:r>
      <w:r w:rsidR="00D2319C">
        <w:rPr>
          <w:i/>
          <w:sz w:val="24"/>
          <w:szCs w:val="24"/>
        </w:rPr>
        <w:t>The proportion of current year’s forage production that is consumed or destroyed by grazing animals.</w:t>
      </w:r>
      <w:r w:rsidR="00D2319C">
        <w:rPr>
          <w:sz w:val="24"/>
          <w:szCs w:val="24"/>
        </w:rPr>
        <w:t xml:space="preserve">   Recognizing that some forage is </w:t>
      </w:r>
      <w:r w:rsidR="00D2319C" w:rsidRPr="001818A1">
        <w:rPr>
          <w:sz w:val="24"/>
          <w:szCs w:val="24"/>
          <w:u w:val="single"/>
        </w:rPr>
        <w:t>consumed</w:t>
      </w:r>
      <w:r w:rsidR="00D2319C">
        <w:rPr>
          <w:sz w:val="24"/>
          <w:szCs w:val="24"/>
        </w:rPr>
        <w:t xml:space="preserve"> and some is </w:t>
      </w:r>
      <w:r w:rsidR="00D2319C" w:rsidRPr="001818A1">
        <w:rPr>
          <w:sz w:val="24"/>
          <w:szCs w:val="24"/>
          <w:u w:val="single"/>
        </w:rPr>
        <w:t>destroyed</w:t>
      </w:r>
      <w:r w:rsidR="00D2319C">
        <w:rPr>
          <w:sz w:val="24"/>
          <w:szCs w:val="24"/>
        </w:rPr>
        <w:t xml:space="preserve"> is a key concept to understanding harvest efficiency.  </w:t>
      </w:r>
    </w:p>
    <w:p w:rsidR="00575972" w:rsidRDefault="00575972" w:rsidP="00D2319C">
      <w:pPr>
        <w:rPr>
          <w:sz w:val="24"/>
          <w:szCs w:val="24"/>
        </w:rPr>
      </w:pPr>
    </w:p>
    <w:p w:rsidR="00887165" w:rsidRDefault="00887165" w:rsidP="00D2319C">
      <w:pPr>
        <w:rPr>
          <w:sz w:val="24"/>
          <w:szCs w:val="24"/>
        </w:rPr>
      </w:pPr>
    </w:p>
    <w:p w:rsidR="00D2319C" w:rsidRDefault="00454AC8" w:rsidP="00887165">
      <w:pPr>
        <w:jc w:val="center"/>
        <w:rPr>
          <w:sz w:val="24"/>
          <w:szCs w:val="24"/>
        </w:rPr>
      </w:pPr>
      <w:r>
        <w:rPr>
          <w:noProof/>
          <w:sz w:val="24"/>
          <w:szCs w:val="24"/>
        </w:rPr>
        <w:drawing>
          <wp:inline distT="0" distB="0" distL="0" distR="0">
            <wp:extent cx="4032250" cy="2800350"/>
            <wp:effectExtent l="1905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a:off x="0" y="0"/>
                      <a:ext cx="4032250" cy="2800350"/>
                    </a:xfrm>
                    <a:prstGeom prst="rect">
                      <a:avLst/>
                    </a:prstGeom>
                    <a:noFill/>
                  </pic:spPr>
                </pic:pic>
              </a:graphicData>
            </a:graphic>
          </wp:inline>
        </w:drawing>
      </w:r>
    </w:p>
    <w:p w:rsidR="00575972" w:rsidRPr="00AC2883" w:rsidRDefault="00575972" w:rsidP="00887165">
      <w:pPr>
        <w:pStyle w:val="Caption"/>
        <w:jc w:val="center"/>
        <w:rPr>
          <w:noProof/>
          <w:sz w:val="24"/>
          <w:szCs w:val="24"/>
        </w:rPr>
      </w:pPr>
      <w:r>
        <w:t xml:space="preserve">Figure </w:t>
      </w:r>
      <w:fldSimple w:instr=" SEQ Figure \* ARABIC ">
        <w:r>
          <w:rPr>
            <w:noProof/>
          </w:rPr>
          <w:t>1</w:t>
        </w:r>
      </w:fldSimple>
      <w:r>
        <w:t xml:space="preserve"> – Illustration of the utilization concept</w:t>
      </w:r>
    </w:p>
    <w:p w:rsidR="00575972" w:rsidRDefault="00575972" w:rsidP="00D2319C">
      <w:pPr>
        <w:rPr>
          <w:sz w:val="24"/>
          <w:szCs w:val="24"/>
        </w:rPr>
      </w:pPr>
    </w:p>
    <w:p w:rsidR="00D2319C" w:rsidRPr="00ED070B" w:rsidRDefault="00814F3C" w:rsidP="00D2319C">
      <w:pPr>
        <w:rPr>
          <w:sz w:val="24"/>
          <w:szCs w:val="24"/>
          <w:u w:val="single"/>
        </w:rPr>
      </w:pPr>
      <w:r w:rsidRPr="00814F3C">
        <w:rPr>
          <w:noProof/>
          <w:u w:val="single"/>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81.25pt;margin-top:29.95pt;width:52.9pt;height:18.1pt;rotation:-3109132fd;z-index:251664384" fillcolor="black">
            <v:shadow color="#868686"/>
            <v:textpath style="font-family:&quot;Arial&quot;" fitshape="t" trim="t" string="Wasted"/>
          </v:shape>
        </w:pict>
      </w:r>
      <w:r w:rsidR="00D2319C" w:rsidRPr="00ED070B">
        <w:rPr>
          <w:sz w:val="24"/>
          <w:szCs w:val="24"/>
          <w:u w:val="single"/>
        </w:rPr>
        <w:t>Definition</w:t>
      </w:r>
    </w:p>
    <w:p w:rsidR="00D2319C" w:rsidRDefault="00D2319C" w:rsidP="00D2319C">
      <w:pPr>
        <w:rPr>
          <w:sz w:val="24"/>
          <w:szCs w:val="24"/>
        </w:rPr>
      </w:pPr>
    </w:p>
    <w:p w:rsidR="00D2319C" w:rsidRDefault="00D2319C" w:rsidP="00D2319C">
      <w:pPr>
        <w:rPr>
          <w:sz w:val="24"/>
          <w:szCs w:val="24"/>
        </w:rPr>
      </w:pPr>
      <w:r>
        <w:rPr>
          <w:sz w:val="24"/>
          <w:szCs w:val="24"/>
        </w:rPr>
        <w:t>The NRPH defines harvest efficiency as “</w:t>
      </w:r>
      <w:r w:rsidRPr="001818A1">
        <w:rPr>
          <w:i/>
          <w:sz w:val="24"/>
          <w:szCs w:val="24"/>
        </w:rPr>
        <w:t>The total percent of vegetation harvested by a machine or ingested by a</w:t>
      </w:r>
      <w:r>
        <w:rPr>
          <w:i/>
          <w:sz w:val="24"/>
          <w:szCs w:val="24"/>
        </w:rPr>
        <w:t xml:space="preserve"> </w:t>
      </w:r>
      <w:r w:rsidRPr="001818A1">
        <w:rPr>
          <w:i/>
          <w:sz w:val="24"/>
          <w:szCs w:val="24"/>
        </w:rPr>
        <w:t>grazing animal compared to the total amount of vegetation grown in th</w:t>
      </w:r>
      <w:r>
        <w:rPr>
          <w:i/>
          <w:sz w:val="24"/>
          <w:szCs w:val="24"/>
        </w:rPr>
        <w:t xml:space="preserve">e </w:t>
      </w:r>
      <w:r w:rsidRPr="001818A1">
        <w:rPr>
          <w:i/>
          <w:sz w:val="24"/>
          <w:szCs w:val="24"/>
        </w:rPr>
        <w:t>area in a given year</w:t>
      </w:r>
      <w:r>
        <w:rPr>
          <w:i/>
          <w:sz w:val="24"/>
          <w:szCs w:val="24"/>
        </w:rPr>
        <w:t>…</w:t>
      </w:r>
      <w:r>
        <w:rPr>
          <w:sz w:val="24"/>
          <w:szCs w:val="24"/>
        </w:rPr>
        <w:t xml:space="preserve">. </w:t>
      </w:r>
      <w:r w:rsidRPr="00AC41D1">
        <w:rPr>
          <w:i/>
          <w:sz w:val="24"/>
          <w:szCs w:val="24"/>
        </w:rPr>
        <w:t>Harvest efficiency is the percentage of forage actually ingested by the animals from the total amount of forage produced.</w:t>
      </w:r>
      <w:r>
        <w:rPr>
          <w:sz w:val="24"/>
          <w:szCs w:val="24"/>
        </w:rPr>
        <w:t xml:space="preserve">”  </w:t>
      </w:r>
      <w:r w:rsidR="008B6B1B">
        <w:rPr>
          <w:sz w:val="24"/>
          <w:szCs w:val="24"/>
        </w:rPr>
        <w:t>Figure 2</w:t>
      </w:r>
      <w:r>
        <w:rPr>
          <w:sz w:val="24"/>
          <w:szCs w:val="24"/>
        </w:rPr>
        <w:t xml:space="preserve"> illustrates this concept.  </w:t>
      </w:r>
    </w:p>
    <w:p w:rsidR="00D2319C" w:rsidRDefault="007B7B8B" w:rsidP="00887165">
      <w:pPr>
        <w:jc w:val="center"/>
        <w:rPr>
          <w:sz w:val="24"/>
          <w:szCs w:val="24"/>
        </w:rPr>
      </w:pPr>
      <w:r>
        <w:rPr>
          <w:noProof/>
          <w:sz w:val="24"/>
          <w:szCs w:val="24"/>
        </w:rPr>
        <w:drawing>
          <wp:inline distT="0" distB="0" distL="0" distR="0">
            <wp:extent cx="4032250" cy="2800350"/>
            <wp:effectExtent l="1905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4032250" cy="2800350"/>
                    </a:xfrm>
                    <a:prstGeom prst="rect">
                      <a:avLst/>
                    </a:prstGeom>
                    <a:noFill/>
                  </pic:spPr>
                </pic:pic>
              </a:graphicData>
            </a:graphic>
          </wp:inline>
        </w:drawing>
      </w:r>
    </w:p>
    <w:p w:rsidR="00575972" w:rsidRPr="00800718" w:rsidRDefault="00575972" w:rsidP="00887165">
      <w:pPr>
        <w:pStyle w:val="Caption"/>
        <w:jc w:val="center"/>
        <w:rPr>
          <w:noProof/>
          <w:sz w:val="24"/>
          <w:szCs w:val="24"/>
        </w:rPr>
      </w:pPr>
      <w:r>
        <w:t xml:space="preserve">Figure </w:t>
      </w:r>
      <w:fldSimple w:instr=" SEQ Figure \* ARABIC ">
        <w:r>
          <w:rPr>
            <w:noProof/>
          </w:rPr>
          <w:t>2</w:t>
        </w:r>
      </w:fldSimple>
      <w:r>
        <w:t xml:space="preserve"> – Illustration of the harvest efficiency concept</w:t>
      </w:r>
    </w:p>
    <w:p w:rsidR="00887165" w:rsidRDefault="00887165" w:rsidP="00D2319C">
      <w:pPr>
        <w:rPr>
          <w:sz w:val="24"/>
          <w:szCs w:val="24"/>
        </w:rPr>
      </w:pPr>
    </w:p>
    <w:p w:rsidR="00D2319C" w:rsidRDefault="00D2319C" w:rsidP="00D2319C">
      <w:pPr>
        <w:rPr>
          <w:sz w:val="24"/>
          <w:szCs w:val="24"/>
        </w:rPr>
      </w:pPr>
      <w:r>
        <w:rPr>
          <w:sz w:val="24"/>
          <w:szCs w:val="24"/>
        </w:rPr>
        <w:t>Total forage production (TFP</w:t>
      </w:r>
      <w:r w:rsidR="008B6B1B">
        <w:rPr>
          <w:sz w:val="24"/>
          <w:szCs w:val="24"/>
        </w:rPr>
        <w:t>)</w:t>
      </w:r>
      <w:r>
        <w:rPr>
          <w:sz w:val="24"/>
          <w:szCs w:val="24"/>
        </w:rPr>
        <w:t xml:space="preserve"> includes only the forage species in the plant community, and represents </w:t>
      </w:r>
      <w:r w:rsidRPr="009511FD">
        <w:rPr>
          <w:sz w:val="24"/>
          <w:szCs w:val="24"/>
          <w:u w:val="single"/>
        </w:rPr>
        <w:t>all</w:t>
      </w:r>
      <w:r w:rsidRPr="00C26CBF">
        <w:rPr>
          <w:sz w:val="24"/>
          <w:szCs w:val="24"/>
        </w:rPr>
        <w:t xml:space="preserve"> </w:t>
      </w:r>
      <w:r>
        <w:rPr>
          <w:sz w:val="24"/>
          <w:szCs w:val="24"/>
        </w:rPr>
        <w:t>of their above ground annual production, not just that portion above a stubble height.  The ‘Leave Half’ portion (50</w:t>
      </w:r>
      <w:r w:rsidR="00263F27">
        <w:rPr>
          <w:sz w:val="24"/>
          <w:szCs w:val="24"/>
        </w:rPr>
        <w:t xml:space="preserve"> percent</w:t>
      </w:r>
      <w:r>
        <w:rPr>
          <w:sz w:val="24"/>
          <w:szCs w:val="24"/>
        </w:rPr>
        <w:t>) represents post-grazing residual forage (R).  This is the most important part of the old take half, leave half rule of thumb for grazing.  The ‘Take Half’ portion (50</w:t>
      </w:r>
      <w:r w:rsidR="00263F27">
        <w:rPr>
          <w:sz w:val="24"/>
          <w:szCs w:val="24"/>
        </w:rPr>
        <w:t xml:space="preserve"> percent</w:t>
      </w:r>
      <w:r>
        <w:rPr>
          <w:sz w:val="24"/>
          <w:szCs w:val="24"/>
        </w:rPr>
        <w:t xml:space="preserve">) </w:t>
      </w:r>
      <w:r w:rsidR="008B6B1B">
        <w:rPr>
          <w:sz w:val="24"/>
          <w:szCs w:val="24"/>
        </w:rPr>
        <w:t xml:space="preserve">allocated for use </w:t>
      </w:r>
      <w:r>
        <w:rPr>
          <w:sz w:val="24"/>
          <w:szCs w:val="24"/>
        </w:rPr>
        <w:t>represents utilization (U), and includes both consumed and destroyed portions</w:t>
      </w:r>
      <w:r w:rsidR="00815962">
        <w:rPr>
          <w:sz w:val="24"/>
          <w:szCs w:val="24"/>
        </w:rPr>
        <w:t xml:space="preserve">.  </w:t>
      </w:r>
      <w:r w:rsidR="008B6B1B">
        <w:rPr>
          <w:sz w:val="24"/>
          <w:szCs w:val="24"/>
        </w:rPr>
        <w:t>The ‘ingested</w:t>
      </w:r>
      <w:r>
        <w:rPr>
          <w:sz w:val="24"/>
          <w:szCs w:val="24"/>
        </w:rPr>
        <w:t>’ portion (25</w:t>
      </w:r>
      <w:r w:rsidR="00263F27">
        <w:rPr>
          <w:sz w:val="24"/>
          <w:szCs w:val="24"/>
        </w:rPr>
        <w:t xml:space="preserve"> percent</w:t>
      </w:r>
      <w:r>
        <w:rPr>
          <w:sz w:val="24"/>
          <w:szCs w:val="24"/>
        </w:rPr>
        <w:t xml:space="preserve">) represents harvest efficiency (HE), or that portion that </w:t>
      </w:r>
      <w:r w:rsidR="00263F27">
        <w:rPr>
          <w:sz w:val="24"/>
          <w:szCs w:val="24"/>
        </w:rPr>
        <w:t xml:space="preserve">is </w:t>
      </w:r>
      <w:r>
        <w:rPr>
          <w:sz w:val="24"/>
          <w:szCs w:val="24"/>
        </w:rPr>
        <w:t>actually ingested by the grazing animal.  The ‘</w:t>
      </w:r>
      <w:r w:rsidR="008B6B1B">
        <w:rPr>
          <w:sz w:val="24"/>
          <w:szCs w:val="24"/>
        </w:rPr>
        <w:t>wasted</w:t>
      </w:r>
      <w:r>
        <w:rPr>
          <w:sz w:val="24"/>
          <w:szCs w:val="24"/>
        </w:rPr>
        <w:t>’ portion (25</w:t>
      </w:r>
      <w:r w:rsidR="00263F27">
        <w:rPr>
          <w:sz w:val="24"/>
          <w:szCs w:val="24"/>
        </w:rPr>
        <w:t xml:space="preserve"> percent</w:t>
      </w:r>
      <w:r>
        <w:rPr>
          <w:sz w:val="24"/>
          <w:szCs w:val="24"/>
        </w:rPr>
        <w:t xml:space="preserve">) represents forage that was utilized but went to waste through trampling, desiccation, manure and urine, bedding, etc.  </w:t>
      </w:r>
    </w:p>
    <w:p w:rsidR="00D2319C" w:rsidRDefault="00D2319C" w:rsidP="00D2319C">
      <w:pPr>
        <w:rPr>
          <w:sz w:val="24"/>
          <w:szCs w:val="24"/>
        </w:rPr>
      </w:pPr>
    </w:p>
    <w:p w:rsidR="00D2319C" w:rsidRPr="00ED070B" w:rsidRDefault="00814F3C" w:rsidP="00D2319C">
      <w:pPr>
        <w:rPr>
          <w:sz w:val="24"/>
          <w:szCs w:val="24"/>
          <w:u w:val="single"/>
        </w:rPr>
      </w:pPr>
      <w:r w:rsidRPr="00814F3C">
        <w:rPr>
          <w:noProof/>
          <w:sz w:val="24"/>
          <w:szCs w:val="24"/>
          <w:lang w:eastAsia="zh-TW"/>
        </w:rPr>
        <w:pict>
          <v:shapetype id="_x0000_t202" coordsize="21600,21600" o:spt="202" path="m,l,21600r21600,l21600,xe">
            <v:stroke joinstyle="miter"/>
            <v:path gradientshapeok="t" o:connecttype="rect"/>
          </v:shapetype>
          <v:shape id="_x0000_s1027" type="#_x0000_t202" style="position:absolute;margin-left:367.55pt;margin-top:489pt;width:163.25pt;height:221.65pt;z-index:251666432;mso-position-horizontal-relative:page;mso-position-vertical-relative:page" o:allowincell="f" fillcolor="#e6eed5 [822]" stroked="f" strokecolor="#622423 [1605]" strokeweight="6pt">
            <v:fill r:id="rId9" o:title="Narrow horizontal" type="pattern"/>
            <v:stroke linestyle="thickThin"/>
            <v:textbox style="mso-next-textbox:#_x0000_s1027" inset="18pt,18pt,18pt,18pt">
              <w:txbxContent>
                <w:p w:rsidR="00575972" w:rsidRPr="00D615C7"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u w:val="single"/>
                    </w:rPr>
                  </w:pPr>
                  <w:proofErr w:type="gramStart"/>
                  <w:r w:rsidRPr="00D615C7">
                    <w:rPr>
                      <w:rFonts w:asciiTheme="majorHAnsi" w:eastAsiaTheme="majorEastAsia" w:hAnsiTheme="majorHAnsi" w:cstheme="majorBidi"/>
                      <w:b/>
                      <w:i/>
                      <w:iCs/>
                      <w:u w:val="single"/>
                    </w:rPr>
                    <w:t>Units  and</w:t>
                  </w:r>
                  <w:proofErr w:type="gramEnd"/>
                  <w:r w:rsidRPr="00D615C7">
                    <w:rPr>
                      <w:rFonts w:asciiTheme="majorHAnsi" w:eastAsiaTheme="majorEastAsia" w:hAnsiTheme="majorHAnsi" w:cstheme="majorBidi"/>
                      <w:b/>
                      <w:i/>
                      <w:iCs/>
                      <w:u w:val="single"/>
                    </w:rPr>
                    <w:t xml:space="preserve"> Equations</w:t>
                  </w:r>
                </w:p>
                <w:p w:rsidR="00575972"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14"/>
                    </w:rPr>
                  </w:pPr>
                  <w:r>
                    <w:rPr>
                      <w:rFonts w:asciiTheme="majorHAnsi" w:eastAsiaTheme="majorEastAsia" w:hAnsiTheme="majorHAnsi" w:cstheme="majorBidi"/>
                      <w:i/>
                      <w:iCs/>
                      <w:sz w:val="14"/>
                    </w:rPr>
                    <w:t>Animal Unit Day (AUD)</w:t>
                  </w:r>
                </w:p>
                <w:p w:rsidR="00575972"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14"/>
                    </w:rPr>
                  </w:pPr>
                  <w:r>
                    <w:rPr>
                      <w:rFonts w:asciiTheme="majorHAnsi" w:eastAsiaTheme="majorEastAsia" w:hAnsiTheme="majorHAnsi" w:cstheme="majorBidi"/>
                      <w:i/>
                      <w:iCs/>
                      <w:sz w:val="14"/>
                    </w:rPr>
                    <w:t>Daily Herbage Intake (DHI) = lbs/AUD</w:t>
                  </w:r>
                </w:p>
                <w:p w:rsidR="00575972"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14"/>
                    </w:rPr>
                  </w:pPr>
                  <w:r>
                    <w:rPr>
                      <w:rFonts w:asciiTheme="majorHAnsi" w:eastAsiaTheme="majorEastAsia" w:hAnsiTheme="majorHAnsi" w:cstheme="majorBidi"/>
                      <w:i/>
                      <w:iCs/>
                      <w:sz w:val="14"/>
                    </w:rPr>
                    <w:t>Stocking Rate (SR) = AUD/area</w:t>
                  </w:r>
                </w:p>
                <w:p w:rsidR="00575972"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14"/>
                    </w:rPr>
                  </w:pPr>
                  <w:r w:rsidRPr="008D71B1">
                    <w:rPr>
                      <w:rFonts w:asciiTheme="majorHAnsi" w:eastAsiaTheme="majorEastAsia" w:hAnsiTheme="majorHAnsi" w:cstheme="majorBidi"/>
                      <w:i/>
                      <w:iCs/>
                      <w:sz w:val="14"/>
                    </w:rPr>
                    <w:t xml:space="preserve">Intake (I) = </w:t>
                  </w:r>
                  <w:r>
                    <w:rPr>
                      <w:rFonts w:asciiTheme="majorHAnsi" w:eastAsiaTheme="majorEastAsia" w:hAnsiTheme="majorHAnsi" w:cstheme="majorBidi"/>
                      <w:i/>
                      <w:iCs/>
                      <w:sz w:val="14"/>
                    </w:rPr>
                    <w:t>DHI</w:t>
                  </w:r>
                  <w:r w:rsidRPr="008D71B1">
                    <w:rPr>
                      <w:rFonts w:asciiTheme="majorHAnsi" w:eastAsiaTheme="majorEastAsia" w:hAnsiTheme="majorHAnsi" w:cstheme="majorBidi"/>
                      <w:i/>
                      <w:iCs/>
                      <w:sz w:val="14"/>
                    </w:rPr>
                    <w:t xml:space="preserve"> * SR</w:t>
                  </w:r>
                </w:p>
                <w:p w:rsidR="00575972"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14"/>
                    </w:rPr>
                  </w:pPr>
                  <w:r>
                    <w:rPr>
                      <w:rFonts w:asciiTheme="majorHAnsi" w:eastAsiaTheme="majorEastAsia" w:hAnsiTheme="majorHAnsi" w:cstheme="majorBidi"/>
                      <w:i/>
                      <w:iCs/>
                      <w:sz w:val="14"/>
                    </w:rPr>
                    <w:t>Total Forage Production (TFP) = lbs/area</w:t>
                  </w:r>
                </w:p>
                <w:p w:rsidR="00575972"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14"/>
                    </w:rPr>
                  </w:pPr>
                  <w:r>
                    <w:rPr>
                      <w:rFonts w:asciiTheme="majorHAnsi" w:eastAsiaTheme="majorEastAsia" w:hAnsiTheme="majorHAnsi" w:cstheme="majorBidi"/>
                      <w:i/>
                      <w:iCs/>
                      <w:sz w:val="14"/>
                    </w:rPr>
                    <w:t>Harvest Efficiency (HE) = I/TFP*100</w:t>
                  </w:r>
                </w:p>
                <w:p w:rsidR="00575972"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14"/>
                    </w:rPr>
                  </w:pPr>
                  <w:r>
                    <w:rPr>
                      <w:rFonts w:asciiTheme="majorHAnsi" w:eastAsiaTheme="majorEastAsia" w:hAnsiTheme="majorHAnsi" w:cstheme="majorBidi"/>
                      <w:i/>
                      <w:iCs/>
                      <w:sz w:val="14"/>
                    </w:rPr>
                    <w:t>Residual (R) = lbs/area</w:t>
                  </w:r>
                </w:p>
                <w:p w:rsidR="00575972"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14"/>
                    </w:rPr>
                  </w:pPr>
                  <w:r>
                    <w:rPr>
                      <w:rFonts w:asciiTheme="majorHAnsi" w:eastAsiaTheme="majorEastAsia" w:hAnsiTheme="majorHAnsi" w:cstheme="majorBidi"/>
                      <w:i/>
                      <w:iCs/>
                      <w:sz w:val="14"/>
                    </w:rPr>
                    <w:t>Utilization (U) = 1-(R/TFP)*100</w:t>
                  </w:r>
                </w:p>
                <w:p w:rsidR="00575972"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14"/>
                    </w:rPr>
                  </w:pPr>
                  <w:r>
                    <w:rPr>
                      <w:rFonts w:asciiTheme="majorHAnsi" w:eastAsiaTheme="majorEastAsia" w:hAnsiTheme="majorHAnsi" w:cstheme="majorBidi"/>
                      <w:i/>
                      <w:iCs/>
                      <w:sz w:val="14"/>
                    </w:rPr>
                    <w:t>Grazing Efficiency (GE) = I</w:t>
                  </w:r>
                  <w:proofErr w:type="gramStart"/>
                  <w:r>
                    <w:rPr>
                      <w:rFonts w:asciiTheme="majorHAnsi" w:eastAsiaTheme="majorEastAsia" w:hAnsiTheme="majorHAnsi" w:cstheme="majorBidi"/>
                      <w:i/>
                      <w:iCs/>
                      <w:sz w:val="14"/>
                    </w:rPr>
                    <w:t>/(</w:t>
                  </w:r>
                  <w:proofErr w:type="gramEnd"/>
                  <w:r>
                    <w:rPr>
                      <w:rFonts w:asciiTheme="majorHAnsi" w:eastAsiaTheme="majorEastAsia" w:hAnsiTheme="majorHAnsi" w:cstheme="majorBidi"/>
                      <w:i/>
                      <w:iCs/>
                      <w:sz w:val="14"/>
                    </w:rPr>
                    <w:t>TFP-R)*100</w:t>
                  </w:r>
                </w:p>
                <w:p w:rsidR="00575972" w:rsidRPr="008D71B1"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14"/>
                    </w:rPr>
                  </w:pPr>
                </w:p>
                <w:p w:rsidR="00575972" w:rsidRDefault="00575972" w:rsidP="00D2319C">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rPr>
                  </w:pPr>
                </w:p>
              </w:txbxContent>
            </v:textbox>
            <w10:wrap type="square" anchorx="page" anchory="page"/>
          </v:shape>
        </w:pict>
      </w:r>
      <w:r w:rsidR="00D2319C" w:rsidRPr="00ED070B">
        <w:rPr>
          <w:sz w:val="24"/>
          <w:szCs w:val="24"/>
          <w:u w:val="single"/>
        </w:rPr>
        <w:t>Finding the Correct Value</w:t>
      </w:r>
    </w:p>
    <w:p w:rsidR="00D2319C" w:rsidRDefault="00D2319C" w:rsidP="00D2319C">
      <w:pPr>
        <w:rPr>
          <w:sz w:val="24"/>
          <w:szCs w:val="24"/>
        </w:rPr>
      </w:pPr>
    </w:p>
    <w:p w:rsidR="00D2319C" w:rsidRPr="00C47BC1" w:rsidRDefault="00D2319C" w:rsidP="00D2319C">
      <w:pPr>
        <w:rPr>
          <w:i/>
          <w:sz w:val="24"/>
          <w:szCs w:val="24"/>
        </w:rPr>
      </w:pPr>
      <w:r>
        <w:rPr>
          <w:sz w:val="24"/>
          <w:szCs w:val="24"/>
        </w:rPr>
        <w:t>The NRPH recommends the following:  “</w:t>
      </w:r>
      <w:r w:rsidRPr="00C47BC1">
        <w:rPr>
          <w:i/>
          <w:sz w:val="24"/>
          <w:szCs w:val="24"/>
        </w:rPr>
        <w:t>For continuous grazing, harvest efficiency usually</w:t>
      </w:r>
      <w:r>
        <w:rPr>
          <w:i/>
          <w:sz w:val="24"/>
          <w:szCs w:val="24"/>
        </w:rPr>
        <w:t xml:space="preserve"> </w:t>
      </w:r>
      <w:r w:rsidRPr="00C47BC1">
        <w:rPr>
          <w:i/>
          <w:sz w:val="24"/>
          <w:szCs w:val="24"/>
        </w:rPr>
        <w:t>averages:</w:t>
      </w:r>
    </w:p>
    <w:p w:rsidR="00D2319C" w:rsidRPr="00C47BC1" w:rsidRDefault="00D2319C" w:rsidP="00D2319C">
      <w:pPr>
        <w:rPr>
          <w:i/>
          <w:sz w:val="24"/>
          <w:szCs w:val="24"/>
        </w:rPr>
      </w:pPr>
      <w:r w:rsidRPr="00C47BC1">
        <w:rPr>
          <w:i/>
          <w:sz w:val="24"/>
          <w:szCs w:val="24"/>
        </w:rPr>
        <w:t>Rangeland 25 percent</w:t>
      </w:r>
    </w:p>
    <w:p w:rsidR="00D2319C" w:rsidRPr="00C47BC1" w:rsidRDefault="00D2319C" w:rsidP="00D2319C">
      <w:pPr>
        <w:rPr>
          <w:i/>
          <w:sz w:val="24"/>
          <w:szCs w:val="24"/>
        </w:rPr>
      </w:pPr>
      <w:r w:rsidRPr="00C47BC1">
        <w:rPr>
          <w:i/>
          <w:sz w:val="24"/>
          <w:szCs w:val="24"/>
        </w:rPr>
        <w:t>Pastureland 30 percent</w:t>
      </w:r>
    </w:p>
    <w:p w:rsidR="00D2319C" w:rsidRDefault="00D2319C" w:rsidP="00D2319C">
      <w:pPr>
        <w:rPr>
          <w:sz w:val="24"/>
          <w:szCs w:val="24"/>
        </w:rPr>
      </w:pPr>
      <w:r w:rsidRPr="00C47BC1">
        <w:rPr>
          <w:i/>
          <w:sz w:val="24"/>
          <w:szCs w:val="24"/>
        </w:rPr>
        <w:t>Grazed cropland 35 percent</w:t>
      </w:r>
      <w:r>
        <w:rPr>
          <w:i/>
          <w:sz w:val="24"/>
          <w:szCs w:val="24"/>
        </w:rPr>
        <w:t>”</w:t>
      </w:r>
    </w:p>
    <w:p w:rsidR="00D2319C" w:rsidRDefault="00D2319C" w:rsidP="00D2319C">
      <w:pPr>
        <w:rPr>
          <w:sz w:val="24"/>
          <w:szCs w:val="24"/>
        </w:rPr>
      </w:pPr>
    </w:p>
    <w:p w:rsidR="00263F27" w:rsidRDefault="00D2319C" w:rsidP="00D2319C">
      <w:pPr>
        <w:rPr>
          <w:sz w:val="24"/>
          <w:szCs w:val="24"/>
        </w:rPr>
      </w:pPr>
      <w:r>
        <w:rPr>
          <w:sz w:val="24"/>
          <w:szCs w:val="24"/>
        </w:rPr>
        <w:t>These values can fluctuate depending on the stocking density.  As further explanation, the NRPH says “</w:t>
      </w:r>
      <w:r w:rsidRPr="00AC41D1">
        <w:rPr>
          <w:i/>
          <w:sz w:val="24"/>
          <w:szCs w:val="24"/>
        </w:rPr>
        <w:t>Harvest efficiency increases as the number of animals increases in an area and they consume plant material before it senesces, transfers to litter, or otherwise leaves the area.</w:t>
      </w:r>
      <w:r>
        <w:rPr>
          <w:sz w:val="24"/>
          <w:szCs w:val="24"/>
        </w:rPr>
        <w:t xml:space="preserve">”  Recent research has verified these values to be correct.  If total forage production (TFP) is estimated and animal intake (I) is assumed to be a generally accepted value, the actual harvest efficiency can be calculated.  </w:t>
      </w:r>
    </w:p>
    <w:p w:rsidR="00D2319C" w:rsidRDefault="00D2319C" w:rsidP="00D2319C">
      <w:pPr>
        <w:rPr>
          <w:sz w:val="24"/>
          <w:szCs w:val="24"/>
        </w:rPr>
      </w:pPr>
      <w:r>
        <w:rPr>
          <w:sz w:val="24"/>
          <w:szCs w:val="24"/>
        </w:rPr>
        <w:t>The equation is:</w:t>
      </w:r>
    </w:p>
    <w:p w:rsidR="009862BF" w:rsidRDefault="009862BF" w:rsidP="00D2319C">
      <w:pPr>
        <w:rPr>
          <w:sz w:val="24"/>
          <w:szCs w:val="24"/>
        </w:rPr>
      </w:pPr>
    </w:p>
    <w:p w:rsidR="00D2319C" w:rsidRDefault="00D2319C" w:rsidP="00D2319C">
      <w:pPr>
        <w:ind w:firstLine="720"/>
        <w:rPr>
          <w:sz w:val="24"/>
          <w:szCs w:val="24"/>
        </w:rPr>
      </w:pPr>
      <w:r>
        <w:rPr>
          <w:sz w:val="24"/>
          <w:szCs w:val="24"/>
        </w:rPr>
        <w:t>I/TFP*100 = HE</w:t>
      </w:r>
    </w:p>
    <w:p w:rsidR="00C15D50" w:rsidRDefault="00C15D50" w:rsidP="00D2319C">
      <w:pPr>
        <w:ind w:firstLine="720"/>
        <w:rPr>
          <w:sz w:val="24"/>
          <w:szCs w:val="24"/>
        </w:rPr>
      </w:pPr>
    </w:p>
    <w:p w:rsidR="00C15D50" w:rsidRDefault="00C15D50" w:rsidP="00D2319C">
      <w:pPr>
        <w:ind w:firstLine="720"/>
        <w:rPr>
          <w:sz w:val="24"/>
          <w:szCs w:val="24"/>
        </w:rPr>
      </w:pPr>
      <w:r>
        <w:rPr>
          <w:sz w:val="24"/>
          <w:szCs w:val="24"/>
        </w:rPr>
        <w:t>For example:</w:t>
      </w:r>
    </w:p>
    <w:p w:rsidR="00C15D50" w:rsidRDefault="00C15D50" w:rsidP="00D2319C">
      <w:pPr>
        <w:ind w:firstLine="720"/>
        <w:rPr>
          <w:sz w:val="24"/>
          <w:szCs w:val="24"/>
        </w:rPr>
      </w:pPr>
    </w:p>
    <w:p w:rsidR="00C15D50" w:rsidRPr="000D0EFB" w:rsidRDefault="00814F3C" w:rsidP="00D2319C">
      <w:pPr>
        <w:ind w:firstLine="720"/>
        <w:rPr>
          <w:sz w:val="24"/>
          <w:szCs w:val="24"/>
        </w:rPr>
      </w:pPr>
      <m:oMathPara>
        <m:oMathParaPr>
          <m:jc m:val="right"/>
        </m:oMathParaPr>
        <m:oMath>
          <m:f>
            <m:fPr>
              <m:ctrlPr>
                <w:rPr>
                  <w:rFonts w:ascii="Cambria Math" w:hAnsi="Cambria Math"/>
                  <w:sz w:val="18"/>
                  <w:szCs w:val="24"/>
                </w:rPr>
              </m:ctrlPr>
            </m:fPr>
            <m:num>
              <m:r>
                <m:rPr>
                  <m:sty m:val="p"/>
                </m:rPr>
                <w:rPr>
                  <w:rFonts w:ascii="Cambria Math" w:hAnsi="Cambria Math"/>
                  <w:sz w:val="18"/>
                  <w:szCs w:val="24"/>
                </w:rPr>
                <m:t>30 lbs forage/day</m:t>
              </m:r>
              <m:r>
                <m:rPr>
                  <m:sty m:val="p"/>
                </m:rPr>
                <w:rPr>
                  <w:rStyle w:val="FootnoteReference"/>
                  <w:rFonts w:ascii="Cambria Math" w:hAnsi="Cambria Math"/>
                  <w:sz w:val="18"/>
                  <w:szCs w:val="24"/>
                </w:rPr>
                <w:footnoteReference w:id="1"/>
              </m:r>
              <m:r>
                <m:rPr>
                  <m:sty m:val="p"/>
                </m:rPr>
                <w:rPr>
                  <w:rFonts w:ascii="Cambria Math" w:hAnsi="Cambria Math"/>
                  <w:sz w:val="18"/>
                  <w:szCs w:val="24"/>
                </w:rPr>
                <m:t xml:space="preserve">*50 mother cows </m:t>
              </m:r>
              <m:d>
                <m:dPr>
                  <m:ctrlPr>
                    <w:rPr>
                      <w:rFonts w:ascii="Cambria Math" w:hAnsi="Cambria Math"/>
                      <w:sz w:val="18"/>
                      <w:szCs w:val="24"/>
                    </w:rPr>
                  </m:ctrlPr>
                </m:dPr>
                <m:e>
                  <m:r>
                    <m:rPr>
                      <m:sty m:val="p"/>
                    </m:rPr>
                    <w:rPr>
                      <w:rFonts w:ascii="Cambria Math" w:hAnsi="Cambria Math"/>
                      <w:sz w:val="18"/>
                      <w:szCs w:val="24"/>
                    </w:rPr>
                    <m:t>1000 lbs each</m:t>
                  </m:r>
                </m:e>
              </m:d>
              <m:r>
                <m:rPr>
                  <m:sty m:val="p"/>
                </m:rPr>
                <w:rPr>
                  <w:rFonts w:ascii="Cambria Math" w:hAnsi="Cambria Math"/>
                  <w:sz w:val="18"/>
                  <w:szCs w:val="24"/>
                </w:rPr>
                <m:t>*90 days in the pasture</m:t>
              </m:r>
            </m:num>
            <m:den>
              <m:r>
                <m:rPr>
                  <m:sty m:val="p"/>
                </m:rPr>
                <w:rPr>
                  <w:rFonts w:ascii="Cambria Math" w:hAnsi="Cambria Math"/>
                  <w:sz w:val="18"/>
                  <w:szCs w:val="24"/>
                </w:rPr>
                <m:t>1500 acre pasture*375 lbs/ac total forage production</m:t>
              </m:r>
            </m:den>
          </m:f>
          <m:r>
            <m:rPr>
              <m:sty m:val="p"/>
            </m:rPr>
            <w:rPr>
              <w:rFonts w:ascii="Cambria Math" w:hAnsi="Cambria Math"/>
              <w:sz w:val="18"/>
              <w:szCs w:val="24"/>
            </w:rPr>
            <m:t xml:space="preserve">*100=24% Harvest Efficiency </m:t>
          </m:r>
        </m:oMath>
      </m:oMathPara>
    </w:p>
    <w:p w:rsidR="00D2319C" w:rsidRDefault="00D2319C" w:rsidP="00D2319C">
      <w:pPr>
        <w:rPr>
          <w:sz w:val="24"/>
          <w:szCs w:val="24"/>
        </w:rPr>
      </w:pPr>
    </w:p>
    <w:p w:rsidR="00D2319C" w:rsidRDefault="00D2319C" w:rsidP="00D2319C">
      <w:pPr>
        <w:rPr>
          <w:sz w:val="24"/>
          <w:szCs w:val="24"/>
        </w:rPr>
      </w:pPr>
      <w:r>
        <w:rPr>
          <w:sz w:val="24"/>
          <w:szCs w:val="24"/>
        </w:rPr>
        <w:t>If the residual (R) left over following grazing is estimated, utilization (U) can be calculated as well.  The equation is:</w:t>
      </w:r>
    </w:p>
    <w:p w:rsidR="00D2319C" w:rsidRDefault="00D2319C" w:rsidP="00D2319C">
      <w:pPr>
        <w:rPr>
          <w:sz w:val="24"/>
          <w:szCs w:val="24"/>
        </w:rPr>
      </w:pPr>
    </w:p>
    <w:p w:rsidR="00D2319C" w:rsidRDefault="00D2319C" w:rsidP="00D2319C">
      <w:pPr>
        <w:ind w:firstLine="720"/>
        <w:rPr>
          <w:sz w:val="24"/>
          <w:szCs w:val="24"/>
        </w:rPr>
      </w:pPr>
      <w:r>
        <w:rPr>
          <w:sz w:val="24"/>
          <w:szCs w:val="24"/>
        </w:rPr>
        <w:t>1-(R/TF</w:t>
      </w:r>
      <w:r w:rsidRPr="00297C3A">
        <w:rPr>
          <w:sz w:val="24"/>
          <w:szCs w:val="24"/>
        </w:rPr>
        <w:t>P)*100</w:t>
      </w:r>
      <w:r>
        <w:rPr>
          <w:sz w:val="24"/>
          <w:szCs w:val="24"/>
        </w:rPr>
        <w:t xml:space="preserve"> = U</w:t>
      </w:r>
    </w:p>
    <w:p w:rsidR="000D0EFB" w:rsidRDefault="000D0EFB" w:rsidP="00D2319C">
      <w:pPr>
        <w:ind w:firstLine="720"/>
        <w:rPr>
          <w:sz w:val="24"/>
          <w:szCs w:val="24"/>
        </w:rPr>
      </w:pPr>
    </w:p>
    <w:p w:rsidR="000D0EFB" w:rsidRDefault="000D0EFB" w:rsidP="00D2319C">
      <w:pPr>
        <w:ind w:firstLine="720"/>
        <w:rPr>
          <w:sz w:val="24"/>
          <w:szCs w:val="24"/>
        </w:rPr>
      </w:pPr>
      <w:r>
        <w:rPr>
          <w:sz w:val="24"/>
          <w:szCs w:val="24"/>
        </w:rPr>
        <w:t>For example:</w:t>
      </w:r>
    </w:p>
    <w:p w:rsidR="000D0EFB" w:rsidRDefault="000D0EFB" w:rsidP="00D2319C">
      <w:pPr>
        <w:ind w:firstLine="720"/>
        <w:rPr>
          <w:sz w:val="24"/>
          <w:szCs w:val="24"/>
        </w:rPr>
      </w:pPr>
    </w:p>
    <w:p w:rsidR="000D0EFB" w:rsidRPr="00E50C87" w:rsidRDefault="00E50C87" w:rsidP="00D2319C">
      <w:pPr>
        <w:ind w:firstLine="720"/>
        <w:rPr>
          <w:szCs w:val="24"/>
        </w:rPr>
      </w:pPr>
      <m:oMathPara>
        <m:oMath>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 xml:space="preserve">1500 acre pasture*(188 lbs)/ac residual forage following grazing </m:t>
              </m:r>
            </m:num>
            <m:den>
              <m:r>
                <m:rPr>
                  <m:sty m:val="p"/>
                </m:rPr>
                <w:rPr>
                  <w:rFonts w:ascii="Cambria Math" w:hAnsi="Cambria Math"/>
                  <w:szCs w:val="24"/>
                </w:rPr>
                <m:t>1500 acre pasture*375 lbs/ac total forage production</m:t>
              </m:r>
            </m:den>
          </m:f>
          <m:r>
            <m:rPr>
              <m:sty m:val="p"/>
            </m:rPr>
            <w:rPr>
              <w:rFonts w:ascii="Cambria Math" w:hAnsi="Cambria Math"/>
              <w:szCs w:val="24"/>
            </w:rPr>
            <m:t>*100=50% Utilization</m:t>
          </m:r>
        </m:oMath>
      </m:oMathPara>
    </w:p>
    <w:p w:rsidR="00D2319C" w:rsidRDefault="00D2319C" w:rsidP="00D2319C">
      <w:pPr>
        <w:rPr>
          <w:sz w:val="24"/>
          <w:szCs w:val="24"/>
        </w:rPr>
      </w:pPr>
    </w:p>
    <w:p w:rsidR="00575972" w:rsidRDefault="007B7B8B" w:rsidP="00263F27">
      <w:pPr>
        <w:jc w:val="center"/>
        <w:rPr>
          <w:sz w:val="24"/>
          <w:szCs w:val="24"/>
        </w:rPr>
      </w:pPr>
      <w:r>
        <w:rPr>
          <w:noProof/>
        </w:rPr>
        <w:drawing>
          <wp:inline distT="0" distB="0" distL="0" distR="0">
            <wp:extent cx="4087495" cy="2981325"/>
            <wp:effectExtent l="19050" t="0" r="8255" b="0"/>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a:stretch>
                      <a:fillRect/>
                    </a:stretch>
                  </pic:blipFill>
                  <pic:spPr bwMode="auto">
                    <a:xfrm>
                      <a:off x="0" y="0"/>
                      <a:ext cx="4087495" cy="2981325"/>
                    </a:xfrm>
                    <a:prstGeom prst="rect">
                      <a:avLst/>
                    </a:prstGeom>
                    <a:noFill/>
                  </pic:spPr>
                </pic:pic>
              </a:graphicData>
            </a:graphic>
          </wp:inline>
        </w:drawing>
      </w:r>
    </w:p>
    <w:p w:rsidR="00575972" w:rsidRPr="004366DC" w:rsidRDefault="00575972" w:rsidP="00263F27">
      <w:pPr>
        <w:pStyle w:val="Caption"/>
        <w:jc w:val="center"/>
        <w:rPr>
          <w:noProof/>
          <w:sz w:val="24"/>
          <w:szCs w:val="24"/>
        </w:rPr>
      </w:pPr>
      <w:r>
        <w:t xml:space="preserve">Figure </w:t>
      </w:r>
      <w:fldSimple w:instr=" SEQ Figure \* ARABIC ">
        <w:r>
          <w:rPr>
            <w:noProof/>
          </w:rPr>
          <w:t>3</w:t>
        </w:r>
      </w:fldSimple>
      <w:r>
        <w:t xml:space="preserve"> – Illustration of the grazing efficiency concept</w:t>
      </w:r>
    </w:p>
    <w:p w:rsidR="00D2319C" w:rsidRDefault="00D2319C" w:rsidP="00D2319C">
      <w:pPr>
        <w:rPr>
          <w:sz w:val="24"/>
          <w:szCs w:val="24"/>
        </w:rPr>
      </w:pPr>
      <w:r>
        <w:rPr>
          <w:sz w:val="24"/>
          <w:szCs w:val="24"/>
        </w:rPr>
        <w:t>The relationship between utilization and harvest efficiency has been documented.  Grazing studies on rangelands in Wyoming, South Dakota, Kansas, Colorado, North Dakota, and Oklahoma have shown that at 50</w:t>
      </w:r>
      <w:r w:rsidR="00263F27">
        <w:rPr>
          <w:sz w:val="24"/>
          <w:szCs w:val="24"/>
        </w:rPr>
        <w:t xml:space="preserve"> percent</w:t>
      </w:r>
      <w:r>
        <w:rPr>
          <w:sz w:val="24"/>
          <w:szCs w:val="24"/>
        </w:rPr>
        <w:t xml:space="preserve"> utilization rates, harvest efficiency is 25</w:t>
      </w:r>
      <w:r w:rsidR="00263F27">
        <w:rPr>
          <w:sz w:val="24"/>
          <w:szCs w:val="24"/>
        </w:rPr>
        <w:t xml:space="preserve"> percent</w:t>
      </w:r>
      <w:r>
        <w:rPr>
          <w:sz w:val="24"/>
          <w:szCs w:val="24"/>
        </w:rPr>
        <w:t>.  If utilization is increased to 65</w:t>
      </w:r>
      <w:r w:rsidR="00263F27">
        <w:rPr>
          <w:sz w:val="24"/>
          <w:szCs w:val="24"/>
        </w:rPr>
        <w:t xml:space="preserve"> percent</w:t>
      </w:r>
      <w:r>
        <w:rPr>
          <w:sz w:val="24"/>
          <w:szCs w:val="24"/>
        </w:rPr>
        <w:t>, harvest efficiency increases to about 37</w:t>
      </w:r>
      <w:r w:rsidR="00263F27">
        <w:rPr>
          <w:sz w:val="24"/>
          <w:szCs w:val="24"/>
        </w:rPr>
        <w:t xml:space="preserve"> percent</w:t>
      </w:r>
      <w:r>
        <w:rPr>
          <w:sz w:val="24"/>
          <w:szCs w:val="24"/>
        </w:rPr>
        <w:t>.  If utilization is decreased to 40</w:t>
      </w:r>
      <w:r w:rsidR="00263F27">
        <w:rPr>
          <w:sz w:val="24"/>
          <w:szCs w:val="24"/>
        </w:rPr>
        <w:t xml:space="preserve"> percent</w:t>
      </w:r>
      <w:r>
        <w:rPr>
          <w:sz w:val="24"/>
          <w:szCs w:val="24"/>
        </w:rPr>
        <w:t>, harvest efficiency decreases to about 15</w:t>
      </w:r>
      <w:r w:rsidR="00263F27">
        <w:rPr>
          <w:sz w:val="24"/>
          <w:szCs w:val="24"/>
        </w:rPr>
        <w:t xml:space="preserve"> percent </w:t>
      </w:r>
      <w:r>
        <w:rPr>
          <w:sz w:val="24"/>
          <w:szCs w:val="24"/>
        </w:rPr>
        <w:t>(Smart et al, 2010).  However, utilization rates should not be increased for the sole purpose of improving harvest efficiency.</w:t>
      </w:r>
      <w:r w:rsidR="001C2F7A" w:rsidRPr="001C2F7A">
        <w:rPr>
          <w:noProof/>
          <w:sz w:val="24"/>
          <w:szCs w:val="24"/>
        </w:rPr>
        <w:t xml:space="preserve"> </w:t>
      </w:r>
    </w:p>
    <w:p w:rsidR="00D2319C" w:rsidRDefault="00D2319C" w:rsidP="00D2319C">
      <w:pPr>
        <w:rPr>
          <w:sz w:val="24"/>
          <w:szCs w:val="24"/>
        </w:rPr>
      </w:pPr>
      <w:r>
        <w:rPr>
          <w:sz w:val="24"/>
          <w:szCs w:val="24"/>
        </w:rPr>
        <w:t>Another related expression of efficiency is grazing efficiency (GE)</w:t>
      </w:r>
      <w:r w:rsidR="009862BF">
        <w:rPr>
          <w:sz w:val="24"/>
          <w:szCs w:val="24"/>
        </w:rPr>
        <w:t xml:space="preserve"> (figure 3)</w:t>
      </w:r>
      <w:r>
        <w:rPr>
          <w:sz w:val="24"/>
          <w:szCs w:val="24"/>
        </w:rPr>
        <w:t>.  Of all forage utilized (this includes what is wasted), that portion actually ingested by the animal is grazing efficiency.  The equation for grazing efficiency is:</w:t>
      </w:r>
    </w:p>
    <w:p w:rsidR="00D2319C" w:rsidRDefault="00D2319C" w:rsidP="00D2319C">
      <w:pPr>
        <w:rPr>
          <w:sz w:val="24"/>
          <w:szCs w:val="24"/>
        </w:rPr>
      </w:pPr>
    </w:p>
    <w:p w:rsidR="007B7B8B" w:rsidRDefault="007B7B8B" w:rsidP="00D2319C">
      <w:pPr>
        <w:rPr>
          <w:sz w:val="24"/>
          <w:szCs w:val="24"/>
        </w:rPr>
      </w:pPr>
    </w:p>
    <w:p w:rsidR="00D2319C" w:rsidRDefault="00D2319C" w:rsidP="00D2319C">
      <w:pPr>
        <w:ind w:firstLine="720"/>
        <w:rPr>
          <w:sz w:val="24"/>
          <w:szCs w:val="24"/>
        </w:rPr>
      </w:pPr>
      <w:r>
        <w:rPr>
          <w:sz w:val="24"/>
          <w:szCs w:val="24"/>
        </w:rPr>
        <w:t>I</w:t>
      </w:r>
      <w:proofErr w:type="gramStart"/>
      <w:r>
        <w:rPr>
          <w:sz w:val="24"/>
          <w:szCs w:val="24"/>
        </w:rPr>
        <w:t>/(</w:t>
      </w:r>
      <w:proofErr w:type="gramEnd"/>
      <w:r>
        <w:rPr>
          <w:sz w:val="24"/>
          <w:szCs w:val="24"/>
        </w:rPr>
        <w:t>TF</w:t>
      </w:r>
      <w:r w:rsidRPr="00EE2121">
        <w:rPr>
          <w:sz w:val="24"/>
          <w:szCs w:val="24"/>
        </w:rPr>
        <w:t>P-R)*100</w:t>
      </w:r>
      <w:r>
        <w:rPr>
          <w:sz w:val="24"/>
          <w:szCs w:val="24"/>
        </w:rPr>
        <w:t xml:space="preserve"> = GE</w:t>
      </w:r>
    </w:p>
    <w:p w:rsidR="009862BF" w:rsidRDefault="009862BF" w:rsidP="00D2319C">
      <w:pPr>
        <w:ind w:firstLine="720"/>
        <w:rPr>
          <w:sz w:val="24"/>
          <w:szCs w:val="24"/>
        </w:rPr>
      </w:pPr>
    </w:p>
    <w:p w:rsidR="009862BF" w:rsidRDefault="009862BF" w:rsidP="00D2319C">
      <w:pPr>
        <w:ind w:firstLine="720"/>
        <w:rPr>
          <w:sz w:val="24"/>
          <w:szCs w:val="24"/>
        </w:rPr>
      </w:pPr>
      <w:r>
        <w:rPr>
          <w:sz w:val="24"/>
          <w:szCs w:val="24"/>
        </w:rPr>
        <w:t>For example:</w:t>
      </w:r>
    </w:p>
    <w:p w:rsidR="009862BF" w:rsidRDefault="009862BF" w:rsidP="00D2319C">
      <w:pPr>
        <w:ind w:firstLine="720"/>
        <w:rPr>
          <w:sz w:val="24"/>
          <w:szCs w:val="24"/>
        </w:rPr>
      </w:pPr>
    </w:p>
    <w:p w:rsidR="009862BF" w:rsidRPr="00653881" w:rsidRDefault="00814F3C" w:rsidP="00D2319C">
      <w:pPr>
        <w:ind w:firstLine="720"/>
      </w:pPr>
      <m:oMathPara>
        <m:oMath>
          <m:f>
            <m:fPr>
              <m:ctrlPr>
                <w:rPr>
                  <w:rFonts w:ascii="Cambria Math" w:hAnsi="Cambria Math"/>
                  <w:i/>
                </w:rPr>
              </m:ctrlPr>
            </m:fPr>
            <m:num>
              <m:r>
                <m:rPr>
                  <m:sty m:val="p"/>
                </m:rPr>
                <w:rPr>
                  <w:rFonts w:ascii="Cambria Math" w:hAnsi="Cambria Math"/>
                </w:rPr>
                <m:t>30 lbs forage/day</m:t>
              </m:r>
              <m:r>
                <m:rPr>
                  <m:sty m:val="p"/>
                </m:rPr>
                <w:rPr>
                  <w:rStyle w:val="FootnoteReference"/>
                  <w:rFonts w:ascii="Cambria Math" w:hAnsi="Cambria Math"/>
                </w:rPr>
                <w:footnoteReference w:id="2"/>
              </m:r>
              <m:r>
                <m:rPr>
                  <m:sty m:val="p"/>
                </m:rPr>
                <w:rPr>
                  <w:rFonts w:ascii="Cambria Math" w:hAnsi="Cambria Math"/>
                </w:rPr>
                <m:t xml:space="preserve">*50 mother cows </m:t>
              </m:r>
              <m:d>
                <m:dPr>
                  <m:ctrlPr>
                    <w:rPr>
                      <w:rFonts w:ascii="Cambria Math" w:hAnsi="Cambria Math"/>
                    </w:rPr>
                  </m:ctrlPr>
                </m:dPr>
                <m:e>
                  <m:r>
                    <m:rPr>
                      <m:sty m:val="p"/>
                    </m:rPr>
                    <w:rPr>
                      <w:rFonts w:ascii="Cambria Math" w:hAnsi="Cambria Math"/>
                    </w:rPr>
                    <m:t>1000 lbs each</m:t>
                  </m:r>
                </m:e>
              </m:d>
              <m:r>
                <m:rPr>
                  <m:sty m:val="p"/>
                </m:rPr>
                <w:rPr>
                  <w:rFonts w:ascii="Cambria Math" w:hAnsi="Cambria Math"/>
                </w:rPr>
                <m:t>*90 days in the pasture</m:t>
              </m:r>
            </m:num>
            <m:den>
              <m:r>
                <m:rPr>
                  <m:sty m:val="p"/>
                </m:rPr>
                <w:rPr>
                  <w:rFonts w:ascii="Cambria Math" w:hAnsi="Cambria Math"/>
                </w:rPr>
                <m:t>1500 ac*375lbs/ac total forage production- 1500 ac*(188 lbs)/ac residual</m:t>
              </m:r>
            </m:den>
          </m:f>
          <m:r>
            <w:rPr>
              <w:rFonts w:ascii="Cambria Math" w:hAnsi="Cambria Math"/>
            </w:rPr>
            <m:t>=</m:t>
          </m:r>
          <m:r>
            <m:rPr>
              <m:sty m:val="p"/>
            </m:rPr>
            <w:rPr>
              <w:rFonts w:ascii="Cambria Math" w:hAnsi="Cambria Math"/>
            </w:rPr>
            <m:t>48% Grazing Efficiency</m:t>
          </m:r>
        </m:oMath>
      </m:oMathPara>
    </w:p>
    <w:p w:rsidR="00D2319C" w:rsidRDefault="00D2319C" w:rsidP="00D2319C">
      <w:pPr>
        <w:rPr>
          <w:sz w:val="24"/>
          <w:szCs w:val="24"/>
        </w:rPr>
      </w:pPr>
    </w:p>
    <w:p w:rsidR="00D2319C" w:rsidRDefault="00D2319C" w:rsidP="00D2319C">
      <w:pPr>
        <w:rPr>
          <w:sz w:val="24"/>
          <w:szCs w:val="24"/>
        </w:rPr>
      </w:pPr>
      <w:r>
        <w:rPr>
          <w:sz w:val="24"/>
          <w:szCs w:val="24"/>
        </w:rPr>
        <w:t>Stock density (</w:t>
      </w:r>
      <w:r w:rsidR="009A6B0C">
        <w:rPr>
          <w:sz w:val="24"/>
          <w:szCs w:val="24"/>
        </w:rPr>
        <w:t>number</w:t>
      </w:r>
      <w:r>
        <w:rPr>
          <w:sz w:val="24"/>
          <w:szCs w:val="24"/>
        </w:rPr>
        <w:t xml:space="preserve"> of head/area) can be used as a tool to improve both harvest efficiency and grazing efficiency (</w:t>
      </w:r>
      <w:proofErr w:type="spellStart"/>
      <w:r>
        <w:rPr>
          <w:sz w:val="24"/>
          <w:szCs w:val="24"/>
        </w:rPr>
        <w:t>Briske</w:t>
      </w:r>
      <w:proofErr w:type="spellEnd"/>
      <w:r>
        <w:rPr>
          <w:sz w:val="24"/>
          <w:szCs w:val="24"/>
        </w:rPr>
        <w:t xml:space="preserve">, 2011 and </w:t>
      </w:r>
      <w:proofErr w:type="spellStart"/>
      <w:r>
        <w:rPr>
          <w:sz w:val="24"/>
          <w:szCs w:val="24"/>
        </w:rPr>
        <w:t>Gerrish</w:t>
      </w:r>
      <w:proofErr w:type="spellEnd"/>
      <w:r>
        <w:rPr>
          <w:sz w:val="24"/>
          <w:szCs w:val="24"/>
        </w:rPr>
        <w:t>, 2004).  As stock density increases, grazing distribution improves, selectivity decreases, and the proportion of utilized forage that is actually ingested (grazing efficiency) increases.  So, increased harvest efficiency and grazing efficiency can happen by increasing stock density while utilization remains at targeted levels.</w:t>
      </w:r>
    </w:p>
    <w:p w:rsidR="00575972" w:rsidRDefault="00575972" w:rsidP="00D2319C">
      <w:pPr>
        <w:rPr>
          <w:sz w:val="24"/>
          <w:szCs w:val="24"/>
        </w:rPr>
      </w:pPr>
    </w:p>
    <w:p w:rsidR="00575972" w:rsidRDefault="00575972" w:rsidP="009A6B0C">
      <w:pPr>
        <w:jc w:val="center"/>
        <w:rPr>
          <w:sz w:val="24"/>
          <w:szCs w:val="24"/>
        </w:rPr>
      </w:pPr>
      <w:r w:rsidRPr="00575972">
        <w:rPr>
          <w:noProof/>
          <w:sz w:val="24"/>
          <w:szCs w:val="24"/>
        </w:rPr>
        <w:drawing>
          <wp:inline distT="0" distB="0" distL="0" distR="0">
            <wp:extent cx="4260850" cy="3038475"/>
            <wp:effectExtent l="19050" t="0" r="6350" b="0"/>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4260850" cy="3038475"/>
                    </a:xfrm>
                    <a:prstGeom prst="rect">
                      <a:avLst/>
                    </a:prstGeom>
                    <a:noFill/>
                  </pic:spPr>
                </pic:pic>
              </a:graphicData>
            </a:graphic>
          </wp:inline>
        </w:drawing>
      </w:r>
    </w:p>
    <w:p w:rsidR="00575972" w:rsidRPr="008C55FE" w:rsidRDefault="00575972" w:rsidP="009A6B0C">
      <w:pPr>
        <w:pStyle w:val="Caption"/>
        <w:jc w:val="center"/>
        <w:rPr>
          <w:noProof/>
          <w:sz w:val="24"/>
          <w:szCs w:val="20"/>
          <w:u w:val="single"/>
        </w:rPr>
      </w:pPr>
      <w:r>
        <w:t>Figure 4 – Comparison of the utilization, harvest efficiency and grazing efficiency concepts</w:t>
      </w:r>
    </w:p>
    <w:p w:rsidR="00D2319C" w:rsidRDefault="00D2319C" w:rsidP="00D2319C">
      <w:pPr>
        <w:rPr>
          <w:sz w:val="24"/>
          <w:szCs w:val="24"/>
        </w:rPr>
      </w:pPr>
    </w:p>
    <w:p w:rsidR="00D2319C" w:rsidRDefault="00D2319C" w:rsidP="00D2319C">
      <w:pPr>
        <w:rPr>
          <w:sz w:val="24"/>
          <w:szCs w:val="24"/>
        </w:rPr>
      </w:pPr>
      <w:r>
        <w:rPr>
          <w:sz w:val="24"/>
          <w:szCs w:val="24"/>
        </w:rPr>
        <w:t xml:space="preserve">Table 1 </w:t>
      </w:r>
      <w:r w:rsidR="001E5B0F">
        <w:rPr>
          <w:sz w:val="24"/>
          <w:szCs w:val="24"/>
        </w:rPr>
        <w:t xml:space="preserve">and </w:t>
      </w:r>
      <w:r w:rsidR="009A6B0C">
        <w:rPr>
          <w:sz w:val="24"/>
          <w:szCs w:val="24"/>
        </w:rPr>
        <w:t>F</w:t>
      </w:r>
      <w:r w:rsidR="001E5B0F">
        <w:rPr>
          <w:sz w:val="24"/>
          <w:szCs w:val="24"/>
        </w:rPr>
        <w:t xml:space="preserve">igure 4 </w:t>
      </w:r>
      <w:proofErr w:type="gramStart"/>
      <w:r>
        <w:rPr>
          <w:sz w:val="24"/>
          <w:szCs w:val="24"/>
        </w:rPr>
        <w:t>contrasts</w:t>
      </w:r>
      <w:proofErr w:type="gramEnd"/>
      <w:r>
        <w:rPr>
          <w:sz w:val="24"/>
          <w:szCs w:val="24"/>
        </w:rPr>
        <w:t xml:space="preserve"> the c</w:t>
      </w:r>
      <w:r w:rsidR="000C5DB1">
        <w:rPr>
          <w:sz w:val="24"/>
          <w:szCs w:val="24"/>
        </w:rPr>
        <w:t xml:space="preserve">oncepts of utilization, harvest </w:t>
      </w:r>
      <w:r>
        <w:rPr>
          <w:sz w:val="24"/>
          <w:szCs w:val="24"/>
        </w:rPr>
        <w:t xml:space="preserve">efficiency, and grazing efficiency.  Under </w:t>
      </w:r>
      <w:r w:rsidR="00656D98">
        <w:rPr>
          <w:sz w:val="24"/>
          <w:szCs w:val="24"/>
        </w:rPr>
        <w:t>a</w:t>
      </w:r>
      <w:r>
        <w:rPr>
          <w:sz w:val="24"/>
          <w:szCs w:val="24"/>
        </w:rPr>
        <w:t xml:space="preserve"> basic grazing scenario, typical values for rangeland are portrayed.  Under the high stock density scenario, utilization remains at 50</w:t>
      </w:r>
      <w:r w:rsidR="009A6B0C">
        <w:rPr>
          <w:sz w:val="24"/>
          <w:szCs w:val="24"/>
        </w:rPr>
        <w:t xml:space="preserve"> percent</w:t>
      </w:r>
      <w:r>
        <w:rPr>
          <w:sz w:val="24"/>
          <w:szCs w:val="24"/>
        </w:rPr>
        <w:t xml:space="preserve"> but harvest efficiency improves.  Understanding these concepts and relationships </w:t>
      </w:r>
      <w:r w:rsidR="009A6B0C">
        <w:rPr>
          <w:sz w:val="24"/>
          <w:szCs w:val="24"/>
        </w:rPr>
        <w:t>are</w:t>
      </w:r>
      <w:r>
        <w:rPr>
          <w:sz w:val="24"/>
          <w:szCs w:val="24"/>
        </w:rPr>
        <w:t xml:space="preserve"> </w:t>
      </w:r>
      <w:proofErr w:type="gramStart"/>
      <w:r>
        <w:rPr>
          <w:sz w:val="24"/>
          <w:szCs w:val="24"/>
        </w:rPr>
        <w:t>key</w:t>
      </w:r>
      <w:proofErr w:type="gramEnd"/>
      <w:r>
        <w:rPr>
          <w:sz w:val="24"/>
          <w:szCs w:val="24"/>
        </w:rPr>
        <w:t xml:space="preserve"> to providing sound technical advice to cooperators </w:t>
      </w:r>
      <w:r w:rsidR="000C5DB1">
        <w:rPr>
          <w:sz w:val="24"/>
          <w:szCs w:val="24"/>
        </w:rPr>
        <w:t xml:space="preserve">using the prescribed grazing practice </w:t>
      </w:r>
      <w:r>
        <w:rPr>
          <w:sz w:val="24"/>
          <w:szCs w:val="24"/>
        </w:rPr>
        <w:t>during the conservation planning process.</w:t>
      </w:r>
    </w:p>
    <w:p w:rsidR="007B7B8B" w:rsidRDefault="007B7B8B" w:rsidP="00D2319C">
      <w:pPr>
        <w:rPr>
          <w:sz w:val="24"/>
          <w:u w:val="single"/>
        </w:rPr>
      </w:pPr>
    </w:p>
    <w:p w:rsidR="00815962" w:rsidRDefault="00815962" w:rsidP="009A6B0C">
      <w:pPr>
        <w:rPr>
          <w:sz w:val="24"/>
          <w:u w:val="single"/>
        </w:rPr>
      </w:pPr>
    </w:p>
    <w:tbl>
      <w:tblPr>
        <w:tblStyle w:val="TableGrid"/>
        <w:tblpPr w:leftFromText="180" w:rightFromText="180" w:vertAnchor="text" w:horzAnchor="margin" w:tblpY="20"/>
        <w:tblW w:w="0" w:type="auto"/>
        <w:tblLook w:val="04A0"/>
      </w:tblPr>
      <w:tblGrid>
        <w:gridCol w:w="2274"/>
        <w:gridCol w:w="2274"/>
        <w:gridCol w:w="2274"/>
      </w:tblGrid>
      <w:tr w:rsidR="00575972" w:rsidRPr="009717DE" w:rsidTr="00575972">
        <w:trPr>
          <w:trHeight w:val="404"/>
        </w:trPr>
        <w:tc>
          <w:tcPr>
            <w:tcW w:w="6822" w:type="dxa"/>
            <w:gridSpan w:val="3"/>
            <w:shd w:val="clear" w:color="auto" w:fill="BFBFBF" w:themeFill="background1" w:themeFillShade="BF"/>
          </w:tcPr>
          <w:p w:rsidR="00575972" w:rsidRPr="009717DE" w:rsidRDefault="00575972" w:rsidP="009A6B0C">
            <w:pPr>
              <w:rPr>
                <w:b/>
                <w:sz w:val="22"/>
                <w:szCs w:val="24"/>
              </w:rPr>
            </w:pPr>
            <w:r w:rsidRPr="009717DE">
              <w:rPr>
                <w:b/>
                <w:sz w:val="22"/>
                <w:szCs w:val="24"/>
              </w:rPr>
              <w:t xml:space="preserve">Table </w:t>
            </w:r>
            <w:r>
              <w:rPr>
                <w:b/>
                <w:sz w:val="22"/>
                <w:szCs w:val="24"/>
              </w:rPr>
              <w:t>1</w:t>
            </w:r>
          </w:p>
        </w:tc>
      </w:tr>
      <w:tr w:rsidR="00575972" w:rsidRPr="009717DE" w:rsidTr="00575972">
        <w:trPr>
          <w:trHeight w:val="404"/>
        </w:trPr>
        <w:tc>
          <w:tcPr>
            <w:tcW w:w="2274" w:type="dxa"/>
            <w:shd w:val="clear" w:color="auto" w:fill="BFBFBF" w:themeFill="background1" w:themeFillShade="BF"/>
            <w:vAlign w:val="center"/>
          </w:tcPr>
          <w:p w:rsidR="00575972" w:rsidRPr="009717DE" w:rsidRDefault="00575972" w:rsidP="00575972">
            <w:pPr>
              <w:jc w:val="center"/>
              <w:rPr>
                <w:b/>
                <w:sz w:val="22"/>
                <w:szCs w:val="24"/>
              </w:rPr>
            </w:pPr>
            <w:r w:rsidRPr="009717DE">
              <w:rPr>
                <w:b/>
                <w:sz w:val="22"/>
                <w:szCs w:val="24"/>
              </w:rPr>
              <w:t>Utilization</w:t>
            </w:r>
          </w:p>
        </w:tc>
        <w:tc>
          <w:tcPr>
            <w:tcW w:w="2274" w:type="dxa"/>
            <w:shd w:val="clear" w:color="auto" w:fill="BFBFBF" w:themeFill="background1" w:themeFillShade="BF"/>
            <w:vAlign w:val="center"/>
          </w:tcPr>
          <w:p w:rsidR="00575972" w:rsidRPr="009717DE" w:rsidRDefault="00575972" w:rsidP="00575972">
            <w:pPr>
              <w:jc w:val="center"/>
              <w:rPr>
                <w:b/>
                <w:sz w:val="22"/>
                <w:szCs w:val="24"/>
              </w:rPr>
            </w:pPr>
            <w:r w:rsidRPr="009717DE">
              <w:rPr>
                <w:b/>
                <w:sz w:val="22"/>
                <w:szCs w:val="24"/>
              </w:rPr>
              <w:t>Harvest Efficiency</w:t>
            </w:r>
          </w:p>
        </w:tc>
        <w:tc>
          <w:tcPr>
            <w:tcW w:w="2274" w:type="dxa"/>
            <w:shd w:val="clear" w:color="auto" w:fill="BFBFBF" w:themeFill="background1" w:themeFillShade="BF"/>
            <w:vAlign w:val="center"/>
          </w:tcPr>
          <w:p w:rsidR="00575972" w:rsidRPr="009717DE" w:rsidRDefault="00575972" w:rsidP="00575972">
            <w:pPr>
              <w:jc w:val="center"/>
              <w:rPr>
                <w:b/>
                <w:sz w:val="22"/>
                <w:szCs w:val="24"/>
              </w:rPr>
            </w:pPr>
            <w:r w:rsidRPr="009717DE">
              <w:rPr>
                <w:b/>
                <w:sz w:val="22"/>
                <w:szCs w:val="24"/>
              </w:rPr>
              <w:t>Grazing Efficiency</w:t>
            </w:r>
          </w:p>
        </w:tc>
      </w:tr>
      <w:tr w:rsidR="00575972" w:rsidRPr="009717DE" w:rsidTr="00575972">
        <w:trPr>
          <w:trHeight w:val="1212"/>
        </w:trPr>
        <w:tc>
          <w:tcPr>
            <w:tcW w:w="2274" w:type="dxa"/>
            <w:tcBorders>
              <w:bottom w:val="single" w:sz="4" w:space="0" w:color="auto"/>
            </w:tcBorders>
          </w:tcPr>
          <w:p w:rsidR="00575972" w:rsidRPr="009717DE" w:rsidRDefault="00575972" w:rsidP="00575972">
            <w:pPr>
              <w:rPr>
                <w:sz w:val="22"/>
                <w:szCs w:val="24"/>
              </w:rPr>
            </w:pPr>
            <w:r w:rsidRPr="009717DE">
              <w:rPr>
                <w:sz w:val="22"/>
                <w:szCs w:val="24"/>
              </w:rPr>
              <w:t>Proportion of annual forage production that is removed or destroyed</w:t>
            </w:r>
          </w:p>
        </w:tc>
        <w:tc>
          <w:tcPr>
            <w:tcW w:w="2274" w:type="dxa"/>
            <w:tcBorders>
              <w:bottom w:val="single" w:sz="4" w:space="0" w:color="auto"/>
            </w:tcBorders>
          </w:tcPr>
          <w:p w:rsidR="00575972" w:rsidRPr="009717DE" w:rsidRDefault="00575972" w:rsidP="00575972">
            <w:pPr>
              <w:rPr>
                <w:sz w:val="22"/>
                <w:szCs w:val="24"/>
              </w:rPr>
            </w:pPr>
            <w:r w:rsidRPr="009717DE">
              <w:rPr>
                <w:sz w:val="22"/>
                <w:szCs w:val="24"/>
              </w:rPr>
              <w:t xml:space="preserve">Proportion of </w:t>
            </w:r>
            <w:r>
              <w:rPr>
                <w:sz w:val="22"/>
                <w:szCs w:val="24"/>
              </w:rPr>
              <w:t>total</w:t>
            </w:r>
            <w:r w:rsidRPr="009717DE">
              <w:rPr>
                <w:sz w:val="22"/>
                <w:szCs w:val="24"/>
              </w:rPr>
              <w:t xml:space="preserve"> forage production ingested by the grazing animal</w:t>
            </w:r>
          </w:p>
        </w:tc>
        <w:tc>
          <w:tcPr>
            <w:tcW w:w="2274" w:type="dxa"/>
            <w:tcBorders>
              <w:bottom w:val="single" w:sz="4" w:space="0" w:color="auto"/>
            </w:tcBorders>
          </w:tcPr>
          <w:p w:rsidR="00575972" w:rsidRPr="009717DE" w:rsidRDefault="00575972" w:rsidP="00575972">
            <w:pPr>
              <w:rPr>
                <w:sz w:val="22"/>
                <w:szCs w:val="24"/>
              </w:rPr>
            </w:pPr>
            <w:r w:rsidRPr="009717DE">
              <w:rPr>
                <w:sz w:val="22"/>
                <w:szCs w:val="24"/>
              </w:rPr>
              <w:t>Proportion of utilization that is ingested by the grazing animal</w:t>
            </w:r>
          </w:p>
        </w:tc>
      </w:tr>
      <w:tr w:rsidR="00575972" w:rsidRPr="009717DE" w:rsidTr="00575972">
        <w:trPr>
          <w:trHeight w:val="427"/>
        </w:trPr>
        <w:tc>
          <w:tcPr>
            <w:tcW w:w="6822" w:type="dxa"/>
            <w:gridSpan w:val="3"/>
            <w:shd w:val="clear" w:color="auto" w:fill="BFBFBF" w:themeFill="background1" w:themeFillShade="BF"/>
            <w:vAlign w:val="center"/>
          </w:tcPr>
          <w:p w:rsidR="00575972" w:rsidRPr="009717DE" w:rsidRDefault="00575972" w:rsidP="00575972">
            <w:pPr>
              <w:jc w:val="center"/>
              <w:rPr>
                <w:b/>
                <w:sz w:val="22"/>
                <w:szCs w:val="24"/>
              </w:rPr>
            </w:pPr>
            <w:r>
              <w:rPr>
                <w:b/>
                <w:sz w:val="22"/>
                <w:szCs w:val="24"/>
              </w:rPr>
              <w:t>b</w:t>
            </w:r>
            <w:r w:rsidRPr="009717DE">
              <w:rPr>
                <w:b/>
                <w:sz w:val="22"/>
                <w:szCs w:val="24"/>
              </w:rPr>
              <w:t xml:space="preserve">asic </w:t>
            </w:r>
            <w:r>
              <w:rPr>
                <w:b/>
                <w:sz w:val="22"/>
                <w:szCs w:val="24"/>
              </w:rPr>
              <w:t>grazing</w:t>
            </w:r>
            <w:r w:rsidRPr="009717DE">
              <w:rPr>
                <w:b/>
                <w:sz w:val="22"/>
                <w:szCs w:val="24"/>
              </w:rPr>
              <w:t xml:space="preserve"> </w:t>
            </w:r>
            <w:r>
              <w:rPr>
                <w:b/>
                <w:sz w:val="22"/>
                <w:szCs w:val="24"/>
              </w:rPr>
              <w:t>s</w:t>
            </w:r>
            <w:r w:rsidRPr="009717DE">
              <w:rPr>
                <w:b/>
                <w:sz w:val="22"/>
                <w:szCs w:val="24"/>
              </w:rPr>
              <w:t>cenario</w:t>
            </w:r>
          </w:p>
        </w:tc>
      </w:tr>
      <w:tr w:rsidR="00575972" w:rsidRPr="009717DE" w:rsidTr="00575972">
        <w:trPr>
          <w:trHeight w:val="445"/>
        </w:trPr>
        <w:tc>
          <w:tcPr>
            <w:tcW w:w="2274" w:type="dxa"/>
            <w:tcBorders>
              <w:bottom w:val="single" w:sz="4" w:space="0" w:color="auto"/>
            </w:tcBorders>
            <w:vAlign w:val="center"/>
          </w:tcPr>
          <w:p w:rsidR="00575972" w:rsidRPr="009717DE" w:rsidRDefault="00575972" w:rsidP="00575972">
            <w:pPr>
              <w:jc w:val="center"/>
              <w:rPr>
                <w:sz w:val="22"/>
                <w:szCs w:val="24"/>
              </w:rPr>
            </w:pPr>
            <w:r w:rsidRPr="009717DE">
              <w:rPr>
                <w:sz w:val="22"/>
                <w:szCs w:val="24"/>
              </w:rPr>
              <w:t>50%</w:t>
            </w:r>
          </w:p>
        </w:tc>
        <w:tc>
          <w:tcPr>
            <w:tcW w:w="2274" w:type="dxa"/>
            <w:tcBorders>
              <w:bottom w:val="single" w:sz="4" w:space="0" w:color="auto"/>
            </w:tcBorders>
            <w:vAlign w:val="center"/>
          </w:tcPr>
          <w:p w:rsidR="00575972" w:rsidRPr="009717DE" w:rsidRDefault="00575972" w:rsidP="00575972">
            <w:pPr>
              <w:jc w:val="center"/>
              <w:rPr>
                <w:sz w:val="22"/>
                <w:szCs w:val="24"/>
              </w:rPr>
            </w:pPr>
            <w:r w:rsidRPr="009717DE">
              <w:rPr>
                <w:sz w:val="22"/>
                <w:szCs w:val="24"/>
              </w:rPr>
              <w:t>25%</w:t>
            </w:r>
          </w:p>
        </w:tc>
        <w:tc>
          <w:tcPr>
            <w:tcW w:w="2274" w:type="dxa"/>
            <w:tcBorders>
              <w:bottom w:val="single" w:sz="4" w:space="0" w:color="auto"/>
            </w:tcBorders>
            <w:vAlign w:val="center"/>
          </w:tcPr>
          <w:p w:rsidR="00575972" w:rsidRPr="009717DE" w:rsidRDefault="00575972" w:rsidP="00575972">
            <w:pPr>
              <w:jc w:val="center"/>
              <w:rPr>
                <w:sz w:val="22"/>
                <w:szCs w:val="24"/>
              </w:rPr>
            </w:pPr>
            <w:r w:rsidRPr="009717DE">
              <w:rPr>
                <w:sz w:val="22"/>
                <w:szCs w:val="24"/>
              </w:rPr>
              <w:t>50%</w:t>
            </w:r>
          </w:p>
        </w:tc>
      </w:tr>
      <w:tr w:rsidR="00575972" w:rsidRPr="009717DE" w:rsidTr="00575972">
        <w:trPr>
          <w:trHeight w:val="445"/>
        </w:trPr>
        <w:tc>
          <w:tcPr>
            <w:tcW w:w="6822" w:type="dxa"/>
            <w:gridSpan w:val="3"/>
            <w:shd w:val="clear" w:color="auto" w:fill="BFBFBF" w:themeFill="background1" w:themeFillShade="BF"/>
            <w:vAlign w:val="center"/>
          </w:tcPr>
          <w:p w:rsidR="00575972" w:rsidRPr="009717DE" w:rsidRDefault="00575972" w:rsidP="00575972">
            <w:pPr>
              <w:jc w:val="center"/>
              <w:rPr>
                <w:b/>
                <w:sz w:val="22"/>
                <w:szCs w:val="24"/>
              </w:rPr>
            </w:pPr>
            <w:r>
              <w:rPr>
                <w:b/>
                <w:sz w:val="22"/>
                <w:szCs w:val="24"/>
              </w:rPr>
              <w:t>h</w:t>
            </w:r>
            <w:r w:rsidRPr="009717DE">
              <w:rPr>
                <w:b/>
                <w:sz w:val="22"/>
                <w:szCs w:val="24"/>
              </w:rPr>
              <w:t xml:space="preserve">igh </w:t>
            </w:r>
            <w:r>
              <w:rPr>
                <w:b/>
                <w:sz w:val="22"/>
                <w:szCs w:val="24"/>
              </w:rPr>
              <w:t>s</w:t>
            </w:r>
            <w:r w:rsidRPr="009717DE">
              <w:rPr>
                <w:b/>
                <w:sz w:val="22"/>
                <w:szCs w:val="24"/>
              </w:rPr>
              <w:t xml:space="preserve">tock </w:t>
            </w:r>
            <w:r>
              <w:rPr>
                <w:b/>
                <w:sz w:val="22"/>
                <w:szCs w:val="24"/>
              </w:rPr>
              <w:t>d</w:t>
            </w:r>
            <w:r w:rsidRPr="009717DE">
              <w:rPr>
                <w:b/>
                <w:sz w:val="22"/>
                <w:szCs w:val="24"/>
              </w:rPr>
              <w:t xml:space="preserve">ensity </w:t>
            </w:r>
            <w:r>
              <w:rPr>
                <w:b/>
                <w:sz w:val="22"/>
                <w:szCs w:val="24"/>
              </w:rPr>
              <w:t>s</w:t>
            </w:r>
            <w:r w:rsidRPr="009717DE">
              <w:rPr>
                <w:b/>
                <w:sz w:val="22"/>
                <w:szCs w:val="24"/>
              </w:rPr>
              <w:t>cenario</w:t>
            </w:r>
          </w:p>
        </w:tc>
      </w:tr>
      <w:tr w:rsidR="00575972" w:rsidRPr="009717DE" w:rsidTr="00575972">
        <w:trPr>
          <w:trHeight w:val="445"/>
        </w:trPr>
        <w:tc>
          <w:tcPr>
            <w:tcW w:w="2274" w:type="dxa"/>
            <w:vAlign w:val="center"/>
          </w:tcPr>
          <w:p w:rsidR="00575972" w:rsidRPr="009717DE" w:rsidRDefault="00575972" w:rsidP="00575972">
            <w:pPr>
              <w:jc w:val="center"/>
              <w:rPr>
                <w:sz w:val="22"/>
                <w:szCs w:val="24"/>
              </w:rPr>
            </w:pPr>
            <w:r w:rsidRPr="009717DE">
              <w:rPr>
                <w:sz w:val="22"/>
                <w:szCs w:val="24"/>
              </w:rPr>
              <w:t>50%</w:t>
            </w:r>
          </w:p>
        </w:tc>
        <w:tc>
          <w:tcPr>
            <w:tcW w:w="2274" w:type="dxa"/>
            <w:vAlign w:val="center"/>
          </w:tcPr>
          <w:p w:rsidR="00575972" w:rsidRPr="009717DE" w:rsidRDefault="00575972" w:rsidP="00575972">
            <w:pPr>
              <w:jc w:val="center"/>
              <w:rPr>
                <w:sz w:val="22"/>
                <w:szCs w:val="24"/>
              </w:rPr>
            </w:pPr>
            <w:r w:rsidRPr="009717DE">
              <w:rPr>
                <w:sz w:val="22"/>
                <w:szCs w:val="24"/>
              </w:rPr>
              <w:t>35%</w:t>
            </w:r>
          </w:p>
        </w:tc>
        <w:tc>
          <w:tcPr>
            <w:tcW w:w="2274" w:type="dxa"/>
            <w:vAlign w:val="center"/>
          </w:tcPr>
          <w:p w:rsidR="00575972" w:rsidRPr="009717DE" w:rsidRDefault="00575972" w:rsidP="00575972">
            <w:pPr>
              <w:jc w:val="center"/>
              <w:rPr>
                <w:sz w:val="22"/>
                <w:szCs w:val="24"/>
              </w:rPr>
            </w:pPr>
            <w:r w:rsidRPr="009717DE">
              <w:rPr>
                <w:sz w:val="22"/>
                <w:szCs w:val="24"/>
              </w:rPr>
              <w:t>70%</w:t>
            </w:r>
          </w:p>
        </w:tc>
      </w:tr>
    </w:tbl>
    <w:p w:rsidR="007B7B8B" w:rsidRDefault="007B7B8B" w:rsidP="00D2319C">
      <w:pPr>
        <w:rPr>
          <w:sz w:val="24"/>
          <w:u w:val="single"/>
        </w:rPr>
      </w:pPr>
    </w:p>
    <w:p w:rsidR="007B7B8B" w:rsidRDefault="007B7B8B"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682419" w:rsidRDefault="00682419" w:rsidP="00D2319C">
      <w:pPr>
        <w:rPr>
          <w:sz w:val="24"/>
          <w:u w:val="single"/>
        </w:rPr>
      </w:pPr>
    </w:p>
    <w:p w:rsidR="00D2319C" w:rsidRDefault="00D2319C" w:rsidP="00D2319C">
      <w:pPr>
        <w:rPr>
          <w:sz w:val="24"/>
        </w:rPr>
      </w:pPr>
      <w:r w:rsidRPr="00552326">
        <w:rPr>
          <w:sz w:val="24"/>
          <w:u w:val="single"/>
        </w:rPr>
        <w:t>Contact</w:t>
      </w:r>
      <w:r>
        <w:rPr>
          <w:sz w:val="24"/>
          <w:u w:val="single"/>
        </w:rPr>
        <w:t>s</w:t>
      </w:r>
      <w:r>
        <w:rPr>
          <w:sz w:val="24"/>
        </w:rPr>
        <w:t>:</w:t>
      </w:r>
    </w:p>
    <w:p w:rsidR="00D2319C" w:rsidRDefault="00D2319C" w:rsidP="00D2319C">
      <w:pPr>
        <w:rPr>
          <w:sz w:val="24"/>
        </w:rPr>
      </w:pPr>
    </w:p>
    <w:p w:rsidR="00D2319C" w:rsidRDefault="00D2319C" w:rsidP="00D2319C">
      <w:pPr>
        <w:rPr>
          <w:sz w:val="24"/>
        </w:rPr>
      </w:pPr>
      <w:r>
        <w:rPr>
          <w:sz w:val="24"/>
        </w:rPr>
        <w:t>Shane Green, State Rangeland Management Specialist, NRCS</w:t>
      </w:r>
      <w:r w:rsidR="009A6B0C">
        <w:rPr>
          <w:sz w:val="24"/>
        </w:rPr>
        <w:t>,</w:t>
      </w:r>
      <w:r>
        <w:rPr>
          <w:sz w:val="24"/>
        </w:rPr>
        <w:t xml:space="preserve"> </w:t>
      </w:r>
      <w:r w:rsidR="009A6B0C">
        <w:rPr>
          <w:sz w:val="24"/>
        </w:rPr>
        <w:t xml:space="preserve">Salt Lake City, </w:t>
      </w:r>
      <w:r>
        <w:rPr>
          <w:sz w:val="24"/>
        </w:rPr>
        <w:t>Utah</w:t>
      </w:r>
    </w:p>
    <w:p w:rsidR="00D2319C" w:rsidRDefault="00D2319C" w:rsidP="00D2319C">
      <w:pPr>
        <w:rPr>
          <w:sz w:val="24"/>
        </w:rPr>
      </w:pPr>
      <w:r>
        <w:rPr>
          <w:sz w:val="24"/>
        </w:rPr>
        <w:t>Brendan Brazee, State Rangeland Management Specialist, NRCS</w:t>
      </w:r>
      <w:r w:rsidR="009A6B0C">
        <w:rPr>
          <w:sz w:val="24"/>
        </w:rPr>
        <w:t>,</w:t>
      </w:r>
      <w:r>
        <w:rPr>
          <w:sz w:val="24"/>
        </w:rPr>
        <w:t xml:space="preserve"> </w:t>
      </w:r>
      <w:r w:rsidR="009A6B0C">
        <w:rPr>
          <w:sz w:val="24"/>
        </w:rPr>
        <w:t xml:space="preserve">Boise, </w:t>
      </w:r>
      <w:r>
        <w:rPr>
          <w:sz w:val="24"/>
        </w:rPr>
        <w:t>Idaho</w:t>
      </w:r>
    </w:p>
    <w:p w:rsidR="00D2319C" w:rsidRDefault="00D2319C" w:rsidP="00D2319C">
      <w:pPr>
        <w:rPr>
          <w:sz w:val="24"/>
        </w:rPr>
      </w:pPr>
    </w:p>
    <w:p w:rsidR="00D2319C" w:rsidRPr="00E0298B" w:rsidRDefault="00D2319C" w:rsidP="00D2319C">
      <w:pPr>
        <w:rPr>
          <w:sz w:val="24"/>
          <w:u w:val="single"/>
        </w:rPr>
      </w:pPr>
      <w:r w:rsidRPr="00E0298B">
        <w:rPr>
          <w:sz w:val="24"/>
          <w:u w:val="single"/>
        </w:rPr>
        <w:t>Literature Cited:</w:t>
      </w:r>
    </w:p>
    <w:p w:rsidR="00D2319C" w:rsidRDefault="00D2319C" w:rsidP="00D2319C">
      <w:pPr>
        <w:rPr>
          <w:sz w:val="24"/>
        </w:rPr>
      </w:pPr>
    </w:p>
    <w:p w:rsidR="00D2319C" w:rsidRDefault="00D2319C" w:rsidP="00D2319C">
      <w:pPr>
        <w:rPr>
          <w:sz w:val="24"/>
        </w:rPr>
      </w:pPr>
      <w:proofErr w:type="spellStart"/>
      <w:r w:rsidRPr="00E0298B">
        <w:rPr>
          <w:sz w:val="24"/>
        </w:rPr>
        <w:t>Beaty</w:t>
      </w:r>
      <w:proofErr w:type="spellEnd"/>
      <w:r w:rsidRPr="00451A6F">
        <w:rPr>
          <w:sz w:val="24"/>
        </w:rPr>
        <w:t xml:space="preserve"> </w:t>
      </w:r>
      <w:r w:rsidRPr="00E0298B">
        <w:rPr>
          <w:sz w:val="24"/>
        </w:rPr>
        <w:t xml:space="preserve">E. </w:t>
      </w:r>
      <w:proofErr w:type="gramStart"/>
      <w:r w:rsidRPr="00E0298B">
        <w:rPr>
          <w:sz w:val="24"/>
        </w:rPr>
        <w:t>R.,</w:t>
      </w:r>
      <w:proofErr w:type="gramEnd"/>
      <w:r w:rsidRPr="00E0298B">
        <w:rPr>
          <w:sz w:val="24"/>
        </w:rPr>
        <w:t xml:space="preserve"> </w:t>
      </w:r>
      <w:r>
        <w:rPr>
          <w:sz w:val="24"/>
        </w:rPr>
        <w:t xml:space="preserve">and </w:t>
      </w:r>
      <w:r w:rsidRPr="00E0298B">
        <w:rPr>
          <w:sz w:val="24"/>
        </w:rPr>
        <w:t>J. L. Engel</w:t>
      </w:r>
      <w:r>
        <w:rPr>
          <w:sz w:val="24"/>
        </w:rPr>
        <w:t xml:space="preserve">. 1980.  </w:t>
      </w:r>
      <w:r w:rsidRPr="00E0298B">
        <w:rPr>
          <w:sz w:val="24"/>
        </w:rPr>
        <w:t>Forage Quality Measurements and Forage Research: A Review, Critique and Interpretation</w:t>
      </w:r>
      <w:r>
        <w:rPr>
          <w:sz w:val="24"/>
        </w:rPr>
        <w:t xml:space="preserve">, </w:t>
      </w:r>
      <w:r w:rsidRPr="00E0298B">
        <w:rPr>
          <w:sz w:val="24"/>
        </w:rPr>
        <w:t>Journal of R</w:t>
      </w:r>
      <w:r>
        <w:rPr>
          <w:sz w:val="24"/>
        </w:rPr>
        <w:t>ange Management, Vol. 33, No. 1,</w:t>
      </w:r>
      <w:r w:rsidRPr="00E0298B">
        <w:rPr>
          <w:sz w:val="24"/>
        </w:rPr>
        <w:t xml:space="preserve"> pp. 49-54</w:t>
      </w:r>
    </w:p>
    <w:p w:rsidR="00D2319C" w:rsidRDefault="00D2319C" w:rsidP="00D2319C">
      <w:pPr>
        <w:rPr>
          <w:sz w:val="24"/>
        </w:rPr>
      </w:pPr>
    </w:p>
    <w:p w:rsidR="00D2319C" w:rsidRDefault="00D2319C" w:rsidP="00D2319C">
      <w:pPr>
        <w:rPr>
          <w:sz w:val="24"/>
        </w:rPr>
      </w:pPr>
      <w:proofErr w:type="spellStart"/>
      <w:r>
        <w:rPr>
          <w:sz w:val="24"/>
        </w:rPr>
        <w:t>Briske</w:t>
      </w:r>
      <w:proofErr w:type="spellEnd"/>
      <w:r>
        <w:rPr>
          <w:sz w:val="24"/>
        </w:rPr>
        <w:t>, D.D., editor. 2011</w:t>
      </w:r>
      <w:r w:rsidRPr="00EE2121">
        <w:rPr>
          <w:sz w:val="24"/>
        </w:rPr>
        <w:t xml:space="preserve">. Conservation Benefits of Rangeland Practices: Assessment, Recommendations, and Knowledge Gaps. </w:t>
      </w:r>
      <w:proofErr w:type="gramStart"/>
      <w:r w:rsidRPr="00EE2121">
        <w:rPr>
          <w:sz w:val="24"/>
        </w:rPr>
        <w:t>United States Department of Agriculture, Natural Resources Conservation Service.</w:t>
      </w:r>
      <w:proofErr w:type="gramEnd"/>
    </w:p>
    <w:p w:rsidR="00D2319C" w:rsidRDefault="00D2319C" w:rsidP="00D2319C">
      <w:pPr>
        <w:rPr>
          <w:sz w:val="24"/>
        </w:rPr>
      </w:pPr>
    </w:p>
    <w:p w:rsidR="00D2319C" w:rsidRDefault="00D2319C" w:rsidP="00D2319C">
      <w:pPr>
        <w:rPr>
          <w:sz w:val="24"/>
        </w:rPr>
      </w:pPr>
      <w:proofErr w:type="spellStart"/>
      <w:r>
        <w:rPr>
          <w:sz w:val="24"/>
        </w:rPr>
        <w:t>Gerrish</w:t>
      </w:r>
      <w:proofErr w:type="spellEnd"/>
      <w:r>
        <w:rPr>
          <w:sz w:val="24"/>
        </w:rPr>
        <w:t>, Jim. 2004. Management intensive Grazing – The Grassroots of Grass Farming</w:t>
      </w:r>
    </w:p>
    <w:p w:rsidR="00D2319C" w:rsidRDefault="00D2319C" w:rsidP="00D2319C">
      <w:pPr>
        <w:rPr>
          <w:sz w:val="24"/>
        </w:rPr>
      </w:pPr>
    </w:p>
    <w:p w:rsidR="00D2319C" w:rsidRDefault="00D2319C" w:rsidP="00D2319C">
      <w:pPr>
        <w:rPr>
          <w:sz w:val="24"/>
        </w:rPr>
      </w:pPr>
      <w:r w:rsidRPr="001A4A90">
        <w:rPr>
          <w:sz w:val="24"/>
        </w:rPr>
        <w:t>Smart</w:t>
      </w:r>
      <w:r w:rsidRPr="00451A6F">
        <w:rPr>
          <w:sz w:val="24"/>
        </w:rPr>
        <w:t xml:space="preserve"> </w:t>
      </w:r>
      <w:r w:rsidRPr="001A4A90">
        <w:rPr>
          <w:sz w:val="24"/>
        </w:rPr>
        <w:t xml:space="preserve">A. J., J. D. </w:t>
      </w:r>
      <w:proofErr w:type="spellStart"/>
      <w:r w:rsidRPr="001A4A90">
        <w:rPr>
          <w:sz w:val="24"/>
        </w:rPr>
        <w:t>Derner</w:t>
      </w:r>
      <w:proofErr w:type="spellEnd"/>
      <w:r w:rsidRPr="001A4A90">
        <w:rPr>
          <w:sz w:val="24"/>
        </w:rPr>
        <w:t xml:space="preserve">, J. R. Hendrickson, R. L. Gillen, B. H. Dunn, E. M. </w:t>
      </w:r>
      <w:proofErr w:type="spellStart"/>
      <w:r w:rsidRPr="001A4A90">
        <w:rPr>
          <w:sz w:val="24"/>
        </w:rPr>
        <w:t>Mousel</w:t>
      </w:r>
      <w:proofErr w:type="spellEnd"/>
      <w:r w:rsidRPr="001A4A90">
        <w:rPr>
          <w:sz w:val="24"/>
        </w:rPr>
        <w:t xml:space="preserve">, P. S. Johnson, R. N. Gates, K. K. </w:t>
      </w:r>
      <w:proofErr w:type="spellStart"/>
      <w:r w:rsidRPr="001A4A90">
        <w:rPr>
          <w:sz w:val="24"/>
        </w:rPr>
        <w:t>Sedivec</w:t>
      </w:r>
      <w:proofErr w:type="spellEnd"/>
      <w:r w:rsidRPr="001A4A90">
        <w:rPr>
          <w:sz w:val="24"/>
        </w:rPr>
        <w:t xml:space="preserve">, K. R. </w:t>
      </w:r>
      <w:proofErr w:type="spellStart"/>
      <w:r w:rsidRPr="001A4A90">
        <w:rPr>
          <w:sz w:val="24"/>
        </w:rPr>
        <w:t>Harmoney</w:t>
      </w:r>
      <w:proofErr w:type="spellEnd"/>
      <w:r w:rsidRPr="001A4A90">
        <w:rPr>
          <w:sz w:val="24"/>
        </w:rPr>
        <w:t xml:space="preserve">, J. D. </w:t>
      </w:r>
      <w:proofErr w:type="spellStart"/>
      <w:r w:rsidRPr="001A4A90">
        <w:rPr>
          <w:sz w:val="24"/>
        </w:rPr>
        <w:t>Volesky</w:t>
      </w:r>
      <w:proofErr w:type="spellEnd"/>
      <w:r w:rsidRPr="001A4A90">
        <w:rPr>
          <w:sz w:val="24"/>
        </w:rPr>
        <w:t>, and K. C. Olson</w:t>
      </w:r>
      <w:r>
        <w:rPr>
          <w:sz w:val="24"/>
        </w:rPr>
        <w:t xml:space="preserve">. </w:t>
      </w:r>
      <w:r w:rsidRPr="001A4A90">
        <w:rPr>
          <w:sz w:val="24"/>
        </w:rPr>
        <w:t xml:space="preserve"> 2010</w:t>
      </w:r>
      <w:r>
        <w:rPr>
          <w:sz w:val="24"/>
        </w:rPr>
        <w:t>.</w:t>
      </w:r>
      <w:r w:rsidRPr="001A4A90">
        <w:rPr>
          <w:sz w:val="24"/>
        </w:rPr>
        <w:t xml:space="preserve"> Effects of Grazing Pressure on Efficiency of Grazing on North American Great Plains Rangelands. Rangelan</w:t>
      </w:r>
      <w:r>
        <w:rPr>
          <w:sz w:val="24"/>
        </w:rPr>
        <w:t>d Ecology &amp; Management: Vol. 63, No. 4, pp. 397-406</w:t>
      </w:r>
    </w:p>
    <w:p w:rsidR="00D2319C" w:rsidRDefault="00D2319C" w:rsidP="00D2319C">
      <w:pPr>
        <w:rPr>
          <w:sz w:val="24"/>
        </w:rPr>
      </w:pPr>
    </w:p>
    <w:p w:rsidR="00D2319C" w:rsidRDefault="00D2319C" w:rsidP="00D2319C">
      <w:pPr>
        <w:rPr>
          <w:sz w:val="24"/>
          <w:szCs w:val="24"/>
        </w:rPr>
      </w:pPr>
      <w:proofErr w:type="gramStart"/>
      <w:r>
        <w:rPr>
          <w:sz w:val="24"/>
          <w:szCs w:val="24"/>
        </w:rPr>
        <w:t>Society for Range Management.</w:t>
      </w:r>
      <w:proofErr w:type="gramEnd"/>
      <w:r>
        <w:rPr>
          <w:sz w:val="24"/>
          <w:szCs w:val="24"/>
        </w:rPr>
        <w:t xml:space="preserve"> 1989. A Glossary of Terms Used in Range Management.  </w:t>
      </w:r>
      <w:proofErr w:type="gramStart"/>
      <w:r>
        <w:rPr>
          <w:sz w:val="24"/>
          <w:szCs w:val="24"/>
        </w:rPr>
        <w:t>Glossary revision special committee, Publications committee.</w:t>
      </w:r>
      <w:proofErr w:type="gramEnd"/>
      <w:r>
        <w:rPr>
          <w:sz w:val="24"/>
          <w:szCs w:val="24"/>
        </w:rPr>
        <w:t xml:space="preserve"> Denver, Colorado</w:t>
      </w:r>
    </w:p>
    <w:p w:rsidR="00D2319C" w:rsidRDefault="00D2319C" w:rsidP="00D2319C">
      <w:pPr>
        <w:rPr>
          <w:sz w:val="24"/>
        </w:rPr>
      </w:pPr>
    </w:p>
    <w:p w:rsidR="00D2319C" w:rsidRPr="00451A6F" w:rsidRDefault="00D2319C" w:rsidP="00D2319C">
      <w:pPr>
        <w:rPr>
          <w:sz w:val="24"/>
        </w:rPr>
      </w:pPr>
      <w:proofErr w:type="gramStart"/>
      <w:r>
        <w:rPr>
          <w:sz w:val="24"/>
        </w:rPr>
        <w:t>USDA Natural Resources Conservation Service.</w:t>
      </w:r>
      <w:proofErr w:type="gramEnd"/>
      <w:r>
        <w:rPr>
          <w:sz w:val="24"/>
        </w:rPr>
        <w:t xml:space="preserve"> 1997. National Range and P</w:t>
      </w:r>
      <w:r w:rsidRPr="00451A6F">
        <w:rPr>
          <w:sz w:val="24"/>
        </w:rPr>
        <w:t>asture</w:t>
      </w:r>
    </w:p>
    <w:p w:rsidR="00D2319C" w:rsidRDefault="00D2319C" w:rsidP="00D2319C">
      <w:pPr>
        <w:rPr>
          <w:sz w:val="24"/>
        </w:rPr>
      </w:pPr>
      <w:proofErr w:type="gramStart"/>
      <w:r>
        <w:rPr>
          <w:sz w:val="24"/>
        </w:rPr>
        <w:t>H</w:t>
      </w:r>
      <w:r w:rsidRPr="00451A6F">
        <w:rPr>
          <w:sz w:val="24"/>
        </w:rPr>
        <w:t>andbook.</w:t>
      </w:r>
      <w:proofErr w:type="gramEnd"/>
      <w:r w:rsidRPr="00451A6F">
        <w:rPr>
          <w:sz w:val="24"/>
        </w:rPr>
        <w:t xml:space="preserve"> Fort Worth, TX: US Department of Agriculture, Natural Resource</w:t>
      </w:r>
      <w:r>
        <w:rPr>
          <w:sz w:val="24"/>
        </w:rPr>
        <w:t xml:space="preserve"> </w:t>
      </w:r>
      <w:r w:rsidRPr="00451A6F">
        <w:rPr>
          <w:sz w:val="24"/>
        </w:rPr>
        <w:t>Conservation Service, Grazing Lands Technology Institute.</w:t>
      </w:r>
    </w:p>
    <w:p w:rsidR="00590857" w:rsidRDefault="00590857"/>
    <w:sectPr w:rsidR="00590857" w:rsidSect="00B32DAD">
      <w:headerReference w:type="default" r:id="rId12"/>
      <w:pgSz w:w="12240" w:h="15840"/>
      <w:pgMar w:top="1440" w:right="1440" w:bottom="1440" w:left="1440"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148" w:rsidRDefault="004B3148" w:rsidP="00A94E31">
      <w:r>
        <w:separator/>
      </w:r>
    </w:p>
  </w:endnote>
  <w:endnote w:type="continuationSeparator" w:id="0">
    <w:p w:rsidR="004B3148" w:rsidRDefault="004B3148" w:rsidP="00A94E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imes">
    <w:panose1 w:val="0202060306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148" w:rsidRDefault="004B3148" w:rsidP="00A94E31">
      <w:r>
        <w:separator/>
      </w:r>
    </w:p>
  </w:footnote>
  <w:footnote w:type="continuationSeparator" w:id="0">
    <w:p w:rsidR="004B3148" w:rsidRDefault="004B3148" w:rsidP="00A94E31">
      <w:r>
        <w:continuationSeparator/>
      </w:r>
    </w:p>
  </w:footnote>
  <w:footnote w:id="1">
    <w:p w:rsidR="00575972" w:rsidRDefault="00575972">
      <w:pPr>
        <w:pStyle w:val="FootnoteText"/>
      </w:pPr>
      <w:r>
        <w:rPr>
          <w:rStyle w:val="FootnoteReference"/>
        </w:rPr>
        <w:footnoteRef/>
      </w:r>
      <w:r>
        <w:t xml:space="preserve"> Daily intake rate for an animal unit NRCS uses, National Range and Pasture Handbook 600.0603(a)</w:t>
      </w:r>
    </w:p>
  </w:footnote>
  <w:footnote w:id="2">
    <w:p w:rsidR="00575972" w:rsidRDefault="00575972" w:rsidP="00E50C87">
      <w:pPr>
        <w:pStyle w:val="FootnoteText"/>
      </w:pPr>
      <w:r>
        <w:rPr>
          <w:rStyle w:val="FootnoteReference"/>
        </w:rPr>
        <w:footnoteRef/>
      </w:r>
      <w:r>
        <w:t xml:space="preserve"> Daily intake rate for an animal unit NRCS uses, National Range and Pasture Handbook 600.0603(a)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Cs w:val="24"/>
      </w:rPr>
      <w:id w:val="76910563"/>
      <w:docPartObj>
        <w:docPartGallery w:val="Watermarks"/>
        <w:docPartUnique/>
      </w:docPartObj>
    </w:sdtPr>
    <w:sdtEndPr>
      <w:rPr>
        <w:rFonts w:ascii="Times New Roman" w:hAnsi="Times New Roman" w:cs="Times New Roman"/>
        <w:sz w:val="20"/>
        <w:szCs w:val="20"/>
      </w:rPr>
    </w:sdtEndPr>
    <w:sdtContent>
      <w:p w:rsidR="00B32DAD" w:rsidRPr="00B32DAD" w:rsidRDefault="00814F3C" w:rsidP="00B32DAD">
        <w:pPr>
          <w:pStyle w:val="Heading6"/>
          <w:tabs>
            <w:tab w:val="left" w:pos="6480"/>
          </w:tabs>
          <w:ind w:right="-360"/>
          <w:jc w:val="both"/>
          <w:rPr>
            <w:rFonts w:ascii="Arial" w:hAnsi="Arial" w:cs="Arial"/>
            <w:szCs w:val="24"/>
          </w:rPr>
        </w:pPr>
        <w:r w:rsidRPr="00B32DAD">
          <w:rPr>
            <w:rFonts w:ascii="Arial" w:hAnsi="Arial" w:cs="Arial"/>
            <w:noProof/>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roofErr w:type="gramStart"/>
        <w:r w:rsidR="00B32DAD" w:rsidRPr="00B32DAD">
          <w:rPr>
            <w:rFonts w:ascii="Arial" w:hAnsi="Arial" w:cs="Arial"/>
            <w:szCs w:val="24"/>
          </w:rPr>
          <w:t>TN RANGE NO.</w:t>
        </w:r>
        <w:proofErr w:type="gramEnd"/>
        <w:r w:rsidR="00B32DAD" w:rsidRPr="00B32DAD">
          <w:rPr>
            <w:rFonts w:ascii="Arial" w:hAnsi="Arial" w:cs="Arial"/>
            <w:szCs w:val="24"/>
          </w:rPr>
          <w:t xml:space="preserve"> 73    </w:t>
        </w:r>
        <w:r w:rsidR="00B32DAD" w:rsidRPr="00B32DAD">
          <w:rPr>
            <w:rFonts w:ascii="Arial" w:hAnsi="Arial" w:cs="Arial"/>
            <w:szCs w:val="24"/>
          </w:rPr>
          <w:tab/>
          <w:t xml:space="preserve">                    July 2012</w:t>
        </w:r>
      </w:p>
      <w:p w:rsidR="00B32DAD" w:rsidRPr="00B32DAD" w:rsidRDefault="00B32DAD" w:rsidP="00B32DAD">
        <w:pPr>
          <w:rPr>
            <w:rFonts w:ascii="Arial" w:hAnsi="Arial" w:cs="Arial"/>
            <w:sz w:val="24"/>
            <w:szCs w:val="24"/>
          </w:rPr>
        </w:pPr>
        <w:r w:rsidRPr="00B32DAD">
          <w:rPr>
            <w:rFonts w:ascii="Arial" w:hAnsi="Arial" w:cs="Arial"/>
            <w:sz w:val="24"/>
            <w:szCs w:val="24"/>
          </w:rPr>
          <w:t xml:space="preserve">Page </w:t>
        </w:r>
        <w:r w:rsidRPr="00B32DAD">
          <w:rPr>
            <w:rFonts w:ascii="Arial" w:hAnsi="Arial" w:cs="Arial"/>
            <w:sz w:val="24"/>
            <w:szCs w:val="24"/>
          </w:rPr>
          <w:fldChar w:fldCharType="begin"/>
        </w:r>
        <w:r w:rsidRPr="00B32DAD">
          <w:rPr>
            <w:rFonts w:ascii="Arial" w:hAnsi="Arial" w:cs="Arial"/>
            <w:sz w:val="24"/>
            <w:szCs w:val="24"/>
          </w:rPr>
          <w:instrText xml:space="preserve"> PAGE   \* MERGEFORMAT </w:instrText>
        </w:r>
        <w:r w:rsidRPr="00B32DAD">
          <w:rPr>
            <w:rFonts w:ascii="Arial" w:hAnsi="Arial" w:cs="Arial"/>
            <w:sz w:val="24"/>
            <w:szCs w:val="24"/>
          </w:rPr>
          <w:fldChar w:fldCharType="separate"/>
        </w:r>
        <w:r w:rsidR="009A6B0C">
          <w:rPr>
            <w:rFonts w:ascii="Arial" w:hAnsi="Arial" w:cs="Arial"/>
            <w:noProof/>
            <w:sz w:val="24"/>
            <w:szCs w:val="24"/>
          </w:rPr>
          <w:t>2</w:t>
        </w:r>
        <w:r w:rsidRPr="00B32DAD">
          <w:rPr>
            <w:rFonts w:ascii="Arial" w:hAnsi="Arial" w:cs="Arial"/>
            <w:sz w:val="24"/>
            <w:szCs w:val="24"/>
          </w:rPr>
          <w:fldChar w:fldCharType="end"/>
        </w:r>
      </w:p>
      <w:p w:rsidR="00575972" w:rsidRDefault="00814F3C" w:rsidP="00B32DAD">
        <w:pPr>
          <w:pStyle w:val="Header"/>
          <w:jc w:val="both"/>
        </w:pPr>
      </w:p>
    </w:sdtContent>
  </w:sdt>
  <w:p w:rsidR="00887165" w:rsidRDefault="00887165" w:rsidP="00B32DAD">
    <w:pPr>
      <w:pStyle w:val="Header"/>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D2319C"/>
    <w:rsid w:val="00057BAB"/>
    <w:rsid w:val="000C05DB"/>
    <w:rsid w:val="000C5DB1"/>
    <w:rsid w:val="000D0EFB"/>
    <w:rsid w:val="00114608"/>
    <w:rsid w:val="00167817"/>
    <w:rsid w:val="001C2F7A"/>
    <w:rsid w:val="001E5B0F"/>
    <w:rsid w:val="00263F27"/>
    <w:rsid w:val="0028167A"/>
    <w:rsid w:val="002A1D0C"/>
    <w:rsid w:val="00454AC8"/>
    <w:rsid w:val="00473AAB"/>
    <w:rsid w:val="004A6B08"/>
    <w:rsid w:val="004B3148"/>
    <w:rsid w:val="00575972"/>
    <w:rsid w:val="00576AED"/>
    <w:rsid w:val="00590857"/>
    <w:rsid w:val="005B1B44"/>
    <w:rsid w:val="00653881"/>
    <w:rsid w:val="006550DE"/>
    <w:rsid w:val="00656D98"/>
    <w:rsid w:val="00682419"/>
    <w:rsid w:val="006A2518"/>
    <w:rsid w:val="007A576D"/>
    <w:rsid w:val="007B62C7"/>
    <w:rsid w:val="007B7B8B"/>
    <w:rsid w:val="007C3105"/>
    <w:rsid w:val="00814F3C"/>
    <w:rsid w:val="00815962"/>
    <w:rsid w:val="0088552B"/>
    <w:rsid w:val="00886A35"/>
    <w:rsid w:val="00887165"/>
    <w:rsid w:val="008B6B1B"/>
    <w:rsid w:val="00932D9C"/>
    <w:rsid w:val="0093772C"/>
    <w:rsid w:val="009862BF"/>
    <w:rsid w:val="009A65A0"/>
    <w:rsid w:val="009A6B0C"/>
    <w:rsid w:val="009B405A"/>
    <w:rsid w:val="00A94E31"/>
    <w:rsid w:val="00B32DAD"/>
    <w:rsid w:val="00C15D50"/>
    <w:rsid w:val="00C62440"/>
    <w:rsid w:val="00C82FD2"/>
    <w:rsid w:val="00D2319C"/>
    <w:rsid w:val="00E03E12"/>
    <w:rsid w:val="00E127F1"/>
    <w:rsid w:val="00E50C87"/>
    <w:rsid w:val="00F37440"/>
    <w:rsid w:val="00F94428"/>
    <w:rsid w:val="00FB13DF"/>
    <w:rsid w:val="00FC0083"/>
    <w:rsid w:val="00FF64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1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B62C7"/>
    <w:pPr>
      <w:keepNext/>
      <w:overflowPunct/>
      <w:autoSpaceDE/>
      <w:autoSpaceDN/>
      <w:adjustRightInd/>
      <w:textAlignment w:val="auto"/>
      <w:outlineLvl w:val="0"/>
    </w:pPr>
    <w:rPr>
      <w:rFonts w:ascii="Times" w:hAnsi="Times"/>
      <w:b/>
      <w:sz w:val="24"/>
    </w:rPr>
  </w:style>
  <w:style w:type="paragraph" w:styleId="Heading6">
    <w:name w:val="heading 6"/>
    <w:basedOn w:val="Normal"/>
    <w:next w:val="Normal"/>
    <w:link w:val="Heading6Char"/>
    <w:qFormat/>
    <w:rsid w:val="007B62C7"/>
    <w:pPr>
      <w:keepNext/>
      <w:overflowPunct/>
      <w:autoSpaceDE/>
      <w:autoSpaceDN/>
      <w:adjustRightInd/>
      <w:textAlignment w:val="auto"/>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2319C"/>
    <w:pPr>
      <w:tabs>
        <w:tab w:val="center" w:pos="4680"/>
        <w:tab w:val="right" w:pos="9360"/>
      </w:tabs>
    </w:pPr>
  </w:style>
  <w:style w:type="character" w:customStyle="1" w:styleId="HeaderChar">
    <w:name w:val="Header Char"/>
    <w:basedOn w:val="DefaultParagraphFont"/>
    <w:link w:val="Header"/>
    <w:rsid w:val="00D2319C"/>
    <w:rPr>
      <w:rFonts w:ascii="Times New Roman" w:eastAsia="Times New Roman" w:hAnsi="Times New Roman" w:cs="Times New Roman"/>
      <w:sz w:val="20"/>
      <w:szCs w:val="20"/>
    </w:rPr>
  </w:style>
  <w:style w:type="table" w:styleId="TableGrid">
    <w:name w:val="Table Grid"/>
    <w:basedOn w:val="TableNormal"/>
    <w:rsid w:val="00D231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2319C"/>
    <w:rPr>
      <w:rFonts w:ascii="Tahoma" w:hAnsi="Tahoma" w:cs="Tahoma"/>
      <w:sz w:val="16"/>
      <w:szCs w:val="16"/>
    </w:rPr>
  </w:style>
  <w:style w:type="character" w:customStyle="1" w:styleId="BalloonTextChar">
    <w:name w:val="Balloon Text Char"/>
    <w:basedOn w:val="DefaultParagraphFont"/>
    <w:link w:val="BalloonText"/>
    <w:uiPriority w:val="99"/>
    <w:semiHidden/>
    <w:rsid w:val="00D2319C"/>
    <w:rPr>
      <w:rFonts w:ascii="Tahoma" w:eastAsia="Times New Roman" w:hAnsi="Tahoma" w:cs="Tahoma"/>
      <w:sz w:val="16"/>
      <w:szCs w:val="16"/>
    </w:rPr>
  </w:style>
  <w:style w:type="paragraph" w:styleId="Caption">
    <w:name w:val="caption"/>
    <w:basedOn w:val="Normal"/>
    <w:next w:val="Normal"/>
    <w:uiPriority w:val="35"/>
    <w:unhideWhenUsed/>
    <w:qFormat/>
    <w:rsid w:val="00590857"/>
    <w:pPr>
      <w:spacing w:after="200"/>
    </w:pPr>
    <w:rPr>
      <w:b/>
      <w:bCs/>
      <w:color w:val="4F81BD" w:themeColor="accent1"/>
      <w:sz w:val="18"/>
      <w:szCs w:val="18"/>
    </w:rPr>
  </w:style>
  <w:style w:type="character" w:styleId="PlaceholderText">
    <w:name w:val="Placeholder Text"/>
    <w:basedOn w:val="DefaultParagraphFont"/>
    <w:uiPriority w:val="99"/>
    <w:semiHidden/>
    <w:rsid w:val="00C15D50"/>
    <w:rPr>
      <w:color w:val="808080"/>
    </w:rPr>
  </w:style>
  <w:style w:type="paragraph" w:styleId="FootnoteText">
    <w:name w:val="footnote text"/>
    <w:basedOn w:val="Normal"/>
    <w:link w:val="FootnoteTextChar"/>
    <w:uiPriority w:val="99"/>
    <w:semiHidden/>
    <w:unhideWhenUsed/>
    <w:rsid w:val="00C15D50"/>
  </w:style>
  <w:style w:type="character" w:customStyle="1" w:styleId="FootnoteTextChar">
    <w:name w:val="Footnote Text Char"/>
    <w:basedOn w:val="DefaultParagraphFont"/>
    <w:link w:val="FootnoteText"/>
    <w:uiPriority w:val="99"/>
    <w:semiHidden/>
    <w:rsid w:val="00C15D5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15D50"/>
    <w:rPr>
      <w:vertAlign w:val="superscript"/>
    </w:rPr>
  </w:style>
  <w:style w:type="character" w:customStyle="1" w:styleId="Heading1Char">
    <w:name w:val="Heading 1 Char"/>
    <w:basedOn w:val="DefaultParagraphFont"/>
    <w:link w:val="Heading1"/>
    <w:rsid w:val="007B62C7"/>
    <w:rPr>
      <w:rFonts w:ascii="Times" w:eastAsia="Times New Roman" w:hAnsi="Times" w:cs="Times New Roman"/>
      <w:b/>
      <w:sz w:val="24"/>
      <w:szCs w:val="20"/>
    </w:rPr>
  </w:style>
  <w:style w:type="character" w:customStyle="1" w:styleId="Heading6Char">
    <w:name w:val="Heading 6 Char"/>
    <w:basedOn w:val="DefaultParagraphFont"/>
    <w:link w:val="Heading6"/>
    <w:rsid w:val="007B62C7"/>
    <w:rPr>
      <w:rFonts w:ascii="Times New Roman" w:eastAsia="Times New Roman" w:hAnsi="Times New Roman" w:cs="Times New Roman"/>
      <w:sz w:val="24"/>
      <w:szCs w:val="20"/>
    </w:rPr>
  </w:style>
  <w:style w:type="paragraph" w:styleId="Footer">
    <w:name w:val="footer"/>
    <w:basedOn w:val="Normal"/>
    <w:link w:val="FooterChar"/>
    <w:uiPriority w:val="99"/>
    <w:semiHidden/>
    <w:unhideWhenUsed/>
    <w:rsid w:val="00B32DAD"/>
    <w:pPr>
      <w:tabs>
        <w:tab w:val="center" w:pos="4680"/>
        <w:tab w:val="right" w:pos="9360"/>
      </w:tabs>
    </w:pPr>
  </w:style>
  <w:style w:type="character" w:customStyle="1" w:styleId="FooterChar">
    <w:name w:val="Footer Char"/>
    <w:basedOn w:val="DefaultParagraphFont"/>
    <w:link w:val="Footer"/>
    <w:uiPriority w:val="99"/>
    <w:semiHidden/>
    <w:rsid w:val="00B32DAD"/>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56984-AA64-425D-8AEE-4B3EFA5D5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1195</Words>
  <Characters>6815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USDA OCIO-ITS</Company>
  <LinksUpToDate>false</LinksUpToDate>
  <CharactersWithSpaces>7995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shane.green</dc:creator>
  <cp:keywords/>
  <dc:description/>
  <cp:lastModifiedBy>dee.cummings</cp:lastModifiedBy>
  <cp:revision>6</cp:revision>
  <dcterms:created xsi:type="dcterms:W3CDTF">2012-07-18T15:25:00Z</dcterms:created>
  <dcterms:modified xsi:type="dcterms:W3CDTF">2012-07-18T15:38:00Z</dcterms:modified>
</cp:coreProperties>
</file>